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10"/>
        <w:rPr>
          <w:rFonts w:hint="eastAsia" w:ascii="方正仿宋简体" w:hAnsi="Times New Roman" w:eastAsia="方正仿宋简体" w:cs="Times New Roman"/>
          <w:sz w:val="25"/>
          <w:lang w:eastAsia="zh-CN"/>
        </w:rPr>
      </w:pPr>
    </w:p>
    <w:p>
      <w:pPr>
        <w:spacing w:before="14"/>
        <w:ind w:left="140"/>
        <w:rPr>
          <w:rFonts w:ascii="方正仿宋简体" w:hAnsi="Times New Roman" w:eastAsia="方正仿宋简体" w:cs="Times New Roman"/>
          <w:sz w:val="41"/>
          <w:lang w:eastAsia="zh-CN"/>
        </w:rPr>
      </w:pPr>
      <w:r>
        <w:rPr>
          <w:rFonts w:hint="eastAsia" w:ascii="方正仿宋简体" w:hAnsi="Times New Roman" w:eastAsia="方正仿宋简体" w:cs="Times New Roman"/>
          <w:sz w:val="28"/>
          <w:lang w:eastAsia="zh-CN"/>
        </w:rPr>
        <w:t>附件一</w:t>
      </w:r>
    </w:p>
    <w:p>
      <w:pPr>
        <w:spacing w:before="1" w:line="285" w:lineRule="auto"/>
        <w:ind w:left="942" w:right="668" w:hanging="1226"/>
        <w:jc w:val="center"/>
        <w:rPr>
          <w:rFonts w:ascii="方正仿宋简体" w:hAnsi="Times New Roman" w:eastAsia="方正仿宋简体" w:cs="Times New Roman"/>
          <w:b/>
          <w:sz w:val="40"/>
          <w:lang w:eastAsia="zh-CN"/>
        </w:rPr>
      </w:pPr>
      <w:r>
        <w:rPr>
          <w:rFonts w:hint="eastAsia" w:ascii="方正仿宋简体" w:hAnsi="Times New Roman" w:eastAsia="方正仿宋简体" w:cs="Times New Roman"/>
          <w:b/>
          <w:sz w:val="40"/>
          <w:lang w:eastAsia="zh-CN"/>
        </w:rPr>
        <w:t>上海期货交易所标准仓单交易业务</w:t>
      </w:r>
    </w:p>
    <w:p>
      <w:pPr>
        <w:spacing w:before="1" w:line="285" w:lineRule="auto"/>
        <w:ind w:left="942" w:right="668" w:hanging="1226"/>
        <w:jc w:val="center"/>
        <w:rPr>
          <w:rFonts w:ascii="方正仿宋简体" w:hAnsi="Times New Roman" w:eastAsia="方正仿宋简体" w:cs="Times New Roman"/>
          <w:b/>
          <w:sz w:val="40"/>
          <w:lang w:eastAsia="zh-CN"/>
        </w:rPr>
      </w:pPr>
      <w:r>
        <w:rPr>
          <w:rFonts w:hint="eastAsia" w:ascii="方正仿宋简体" w:hAnsi="Times New Roman" w:eastAsia="方正仿宋简体" w:cs="Times New Roman"/>
          <w:b/>
          <w:w w:val="95"/>
          <w:sz w:val="40"/>
          <w:lang w:eastAsia="zh-CN"/>
        </w:rPr>
        <w:t>交易商开户操作指引</w:t>
      </w:r>
    </w:p>
    <w:p>
      <w:pPr>
        <w:pStyle w:val="16"/>
        <w:numPr>
          <w:ilvl w:val="0"/>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首先提交两份电子版材料（公司</w:t>
      </w:r>
      <w:r>
        <w:rPr>
          <w:rFonts w:ascii="方正仿宋简体" w:hAnsi="Times New Roman" w:eastAsia="方正仿宋简体" w:cs="Times New Roman"/>
          <w:sz w:val="28"/>
          <w:lang w:eastAsia="zh-CN"/>
        </w:rPr>
        <w:t>简介及</w:t>
      </w:r>
      <w:r>
        <w:rPr>
          <w:rFonts w:hint="eastAsia" w:ascii="方正仿宋简体" w:hAnsi="Times New Roman" w:eastAsia="方正仿宋简体" w:cs="Times New Roman"/>
          <w:sz w:val="28"/>
          <w:lang w:eastAsia="zh-CN"/>
        </w:rPr>
        <w:t>《</w:t>
      </w:r>
      <w:r>
        <w:rPr>
          <w:rFonts w:ascii="方正仿宋简体" w:hAnsi="Times New Roman" w:eastAsia="方正仿宋简体" w:cs="Times New Roman"/>
          <w:sz w:val="28"/>
          <w:lang w:eastAsia="zh-CN"/>
        </w:rPr>
        <w:t>附件6交易商信息搜集表（请务必反馈电子版）</w:t>
      </w:r>
      <w:r>
        <w:rPr>
          <w:rFonts w:hint="eastAsia" w:ascii="方正仿宋简体" w:hAnsi="Times New Roman" w:eastAsia="方正仿宋简体" w:cs="Times New Roman"/>
          <w:sz w:val="28"/>
          <w:lang w:eastAsia="zh-CN"/>
        </w:rPr>
        <w:t>》），电子版材料发送至</w:t>
      </w:r>
      <w:r>
        <w:rPr>
          <w:rFonts w:ascii="方正仿宋简体" w:hAnsi="Times New Roman" w:eastAsia="方正仿宋简体" w:cs="Times New Roman"/>
          <w:b/>
          <w:sz w:val="28"/>
          <w:lang w:eastAsia="zh-CN"/>
        </w:rPr>
        <w:t>zhou.xin@shfe.com.cn</w:t>
      </w:r>
      <w:r>
        <w:rPr>
          <w:rFonts w:hint="eastAsia" w:ascii="方正仿宋简体" w:hAnsi="Times New Roman" w:eastAsia="方正仿宋简体" w:cs="Times New Roman"/>
          <w:sz w:val="28"/>
          <w:lang w:eastAsia="zh-CN"/>
        </w:rPr>
        <w:t>，</w:t>
      </w:r>
      <w:r>
        <w:rPr>
          <w:rFonts w:hint="eastAsia" w:ascii="方正仿宋简体" w:hAnsi="Times New Roman" w:eastAsia="方正仿宋简体" w:cs="Times New Roman"/>
          <w:sz w:val="28"/>
          <w:highlight w:val="yellow"/>
          <w:lang w:eastAsia="zh-CN"/>
        </w:rPr>
        <w:t>邮件主题务必标明公司名称或简称。</w:t>
      </w:r>
    </w:p>
    <w:p>
      <w:pPr>
        <w:pStyle w:val="16"/>
        <w:numPr>
          <w:ilvl w:val="0"/>
          <w:numId w:val="1"/>
        </w:numPr>
        <w:autoSpaceDE/>
        <w:autoSpaceDN/>
        <w:spacing w:before="0"/>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交易商收到确认邮件后，</w:t>
      </w:r>
      <w:r>
        <w:fldChar w:fldCharType="begin"/>
      </w:r>
      <w:r>
        <w:instrText xml:space="preserve"> HYPERLINK "mailto:提交开户申请文件扫描件至zhou.xin@shfe.com.cn" </w:instrText>
      </w:r>
      <w:r>
        <w:fldChar w:fldCharType="separate"/>
      </w:r>
      <w:r>
        <w:rPr>
          <w:rStyle w:val="14"/>
          <w:rFonts w:hint="eastAsia" w:ascii="方正仿宋简体" w:hAnsi="Times New Roman" w:eastAsia="方正仿宋简体" w:cs="Times New Roman"/>
          <w:sz w:val="28"/>
          <w:lang w:eastAsia="zh-CN"/>
        </w:rPr>
        <w:t>提交开户申请</w:t>
      </w:r>
      <w:r>
        <w:rPr>
          <w:rStyle w:val="14"/>
          <w:rFonts w:ascii="方正仿宋简体" w:hAnsi="Times New Roman" w:eastAsia="方正仿宋简体" w:cs="Times New Roman"/>
          <w:sz w:val="28"/>
          <w:lang w:eastAsia="zh-CN"/>
        </w:rPr>
        <w:t>文件</w:t>
      </w:r>
      <w:r>
        <w:rPr>
          <w:rStyle w:val="14"/>
          <w:rFonts w:hint="eastAsia" w:ascii="方正仿宋简体" w:hAnsi="Times New Roman" w:eastAsia="方正仿宋简体" w:cs="Times New Roman"/>
          <w:sz w:val="28"/>
          <w:lang w:eastAsia="zh-CN"/>
        </w:rPr>
        <w:t>扫描件至</w:t>
      </w:r>
      <w:r>
        <w:rPr>
          <w:rStyle w:val="14"/>
          <w:rFonts w:ascii="方正仿宋简体" w:hAnsi="Times New Roman" w:eastAsia="方正仿宋简体" w:cs="Times New Roman"/>
          <w:b/>
          <w:sz w:val="28"/>
          <w:lang w:eastAsia="zh-CN"/>
        </w:rPr>
        <w:t>zhou.xin@shfe.com.cn</w:t>
      </w:r>
      <w:r>
        <w:rPr>
          <w:rStyle w:val="14"/>
          <w:rFonts w:ascii="方正仿宋简体" w:hAnsi="Times New Roman" w:eastAsia="方正仿宋简体" w:cs="Times New Roman"/>
          <w:b/>
          <w:sz w:val="28"/>
          <w:lang w:eastAsia="zh-CN"/>
        </w:rPr>
        <w:fldChar w:fldCharType="end"/>
      </w:r>
      <w:r>
        <w:rPr>
          <w:rFonts w:hint="eastAsia" w:ascii="方正仿宋简体" w:hAnsi="Times New Roman" w:eastAsia="方正仿宋简体" w:cs="Times New Roman"/>
          <w:b/>
          <w:sz w:val="28"/>
          <w:lang w:eastAsia="zh-CN"/>
        </w:rPr>
        <w:t>，</w:t>
      </w:r>
      <w:r>
        <w:rPr>
          <w:rFonts w:hint="eastAsia" w:ascii="方正仿宋简体" w:hAnsi="Times New Roman" w:eastAsia="方正仿宋简体" w:cs="Times New Roman"/>
          <w:sz w:val="28"/>
          <w:lang w:eastAsia="zh-CN"/>
        </w:rPr>
        <w:t>经</w:t>
      </w:r>
      <w:r>
        <w:rPr>
          <w:rFonts w:ascii="方正仿宋简体" w:hAnsi="Times New Roman" w:eastAsia="方正仿宋简体" w:cs="Times New Roman"/>
          <w:sz w:val="28"/>
          <w:lang w:eastAsia="zh-CN"/>
        </w:rPr>
        <w:t>初步审核</w:t>
      </w:r>
      <w:r>
        <w:rPr>
          <w:rFonts w:hint="eastAsia" w:ascii="方正仿宋简体" w:hAnsi="Times New Roman" w:eastAsia="方正仿宋简体" w:cs="Times New Roman"/>
          <w:sz w:val="28"/>
          <w:lang w:eastAsia="zh-CN"/>
        </w:rPr>
        <w:t>确认</w:t>
      </w:r>
      <w:r>
        <w:rPr>
          <w:rFonts w:ascii="方正仿宋简体" w:hAnsi="Times New Roman" w:eastAsia="方正仿宋简体" w:cs="Times New Roman"/>
          <w:sz w:val="28"/>
          <w:lang w:eastAsia="zh-CN"/>
        </w:rPr>
        <w:t>后，</w:t>
      </w:r>
      <w:r>
        <w:rPr>
          <w:rFonts w:hint="eastAsia" w:ascii="方正仿宋简体" w:hAnsi="Times New Roman" w:eastAsia="方正仿宋简体" w:cs="Times New Roman"/>
          <w:sz w:val="28"/>
          <w:lang w:eastAsia="zh-CN"/>
        </w:rPr>
        <w:t>邮件</w:t>
      </w:r>
      <w:r>
        <w:rPr>
          <w:rFonts w:ascii="方正仿宋简体" w:hAnsi="Times New Roman" w:eastAsia="方正仿宋简体" w:cs="Times New Roman"/>
          <w:sz w:val="28"/>
          <w:lang w:eastAsia="zh-CN"/>
        </w:rPr>
        <w:t>发送</w:t>
      </w:r>
      <w:r>
        <w:rPr>
          <w:rFonts w:hint="eastAsia" w:ascii="方正仿宋简体" w:hAnsi="Times New Roman" w:eastAsia="方正仿宋简体" w:cs="Times New Roman"/>
          <w:sz w:val="28"/>
          <w:lang w:eastAsia="zh-CN"/>
        </w:rPr>
        <w:t>扫描件</w:t>
      </w:r>
      <w:r>
        <w:rPr>
          <w:rFonts w:ascii="方正仿宋简体" w:hAnsi="Times New Roman" w:eastAsia="方正仿宋简体" w:cs="Times New Roman"/>
          <w:sz w:val="28"/>
          <w:lang w:eastAsia="zh-CN"/>
        </w:rPr>
        <w:t>开户申请文件</w:t>
      </w:r>
      <w:r>
        <w:rPr>
          <w:rFonts w:hint="eastAsia" w:ascii="方正仿宋简体" w:hAnsi="Times New Roman" w:eastAsia="方正仿宋简体" w:cs="Times New Roman"/>
          <w:sz w:val="28"/>
          <w:lang w:eastAsia="zh-CN"/>
        </w:rPr>
        <w:t>至上述</w:t>
      </w:r>
      <w:r>
        <w:rPr>
          <w:rFonts w:ascii="方正仿宋简体" w:hAnsi="Times New Roman" w:eastAsia="方正仿宋简体" w:cs="Times New Roman"/>
          <w:sz w:val="28"/>
          <w:lang w:eastAsia="zh-CN"/>
        </w:rPr>
        <w:t>指定邮箱</w:t>
      </w:r>
      <w:r>
        <w:rPr>
          <w:rFonts w:hint="eastAsia" w:ascii="方正仿宋简体" w:hAnsi="Times New Roman" w:eastAsia="方正仿宋简体" w:cs="Times New Roman"/>
          <w:sz w:val="28"/>
          <w:lang w:eastAsia="zh-CN"/>
        </w:rPr>
        <w:t>，</w:t>
      </w:r>
      <w:r>
        <w:rPr>
          <w:rFonts w:ascii="方正仿宋简体" w:hAnsi="Times New Roman" w:eastAsia="方正仿宋简体" w:cs="Times New Roman"/>
          <w:sz w:val="28"/>
          <w:lang w:eastAsia="zh-CN"/>
        </w:rPr>
        <w:t>并</w:t>
      </w:r>
      <w:r>
        <w:rPr>
          <w:rFonts w:hint="eastAsia" w:ascii="方正仿宋简体" w:hAnsi="Times New Roman" w:eastAsia="方正仿宋简体" w:cs="Times New Roman"/>
          <w:sz w:val="28"/>
          <w:lang w:eastAsia="zh-CN"/>
        </w:rPr>
        <w:t>将</w:t>
      </w:r>
      <w:r>
        <w:rPr>
          <w:rFonts w:ascii="方正仿宋简体" w:hAnsi="Times New Roman" w:eastAsia="方正仿宋简体" w:cs="Times New Roman"/>
          <w:sz w:val="28"/>
          <w:lang w:eastAsia="zh-CN"/>
        </w:rPr>
        <w:t>纸质版材料寄</w:t>
      </w:r>
      <w:r>
        <w:rPr>
          <w:rFonts w:hint="eastAsia" w:ascii="方正仿宋简体" w:hAnsi="Times New Roman" w:eastAsia="方正仿宋简体" w:cs="Times New Roman"/>
          <w:sz w:val="28"/>
          <w:lang w:eastAsia="zh-CN"/>
        </w:rPr>
        <w:t>至</w:t>
      </w:r>
      <w:r>
        <w:rPr>
          <w:rFonts w:ascii="方正仿宋简体" w:hAnsi="Times New Roman" w:eastAsia="方正仿宋简体" w:cs="Times New Roman"/>
          <w:sz w:val="28"/>
          <w:lang w:eastAsia="zh-CN"/>
        </w:rPr>
        <w:t>交易所。</w:t>
      </w:r>
      <w:r>
        <w:rPr>
          <w:rFonts w:hint="eastAsia" w:ascii="方正仿宋简体" w:hAnsi="Times New Roman" w:eastAsia="方正仿宋简体" w:cs="Times New Roman"/>
          <w:sz w:val="28"/>
          <w:lang w:eastAsia="zh-CN"/>
        </w:rPr>
        <w:t>邮寄地址为：</w:t>
      </w:r>
      <w:r>
        <w:rPr>
          <w:rFonts w:hint="eastAsia" w:ascii="方正仿宋简体" w:hAnsi="Times New Roman" w:eastAsia="方正仿宋简体" w:cs="Times New Roman"/>
          <w:b/>
          <w:sz w:val="28"/>
          <w:lang w:eastAsia="zh-CN"/>
        </w:rPr>
        <w:t>上海市浦东新区浦电路500号</w:t>
      </w:r>
      <w:r>
        <w:rPr>
          <w:rFonts w:ascii="方正仿宋简体" w:hAnsi="Times New Roman" w:eastAsia="方正仿宋简体" w:cs="Times New Roman"/>
          <w:b/>
          <w:sz w:val="28"/>
          <w:lang w:eastAsia="zh-CN"/>
        </w:rPr>
        <w:t>上海期货</w:t>
      </w:r>
      <w:r>
        <w:rPr>
          <w:rFonts w:hint="eastAsia" w:ascii="方正仿宋简体" w:hAnsi="Times New Roman" w:eastAsia="方正仿宋简体" w:cs="Times New Roman"/>
          <w:b/>
          <w:sz w:val="28"/>
          <w:lang w:eastAsia="zh-CN"/>
        </w:rPr>
        <w:t>大厦27楼</w:t>
      </w:r>
      <w:r>
        <w:rPr>
          <w:rFonts w:ascii="方正仿宋简体" w:hAnsi="Times New Roman" w:eastAsia="方正仿宋简体" w:cs="Times New Roman"/>
          <w:sz w:val="28"/>
          <w:lang w:eastAsia="zh-CN"/>
        </w:rPr>
        <w:t>。</w:t>
      </w:r>
      <w:r>
        <w:rPr>
          <w:rFonts w:hint="eastAsia" w:ascii="方正仿宋简体" w:hAnsi="Times New Roman" w:eastAsia="方正仿宋简体" w:cs="Times New Roman"/>
          <w:sz w:val="28"/>
          <w:lang w:eastAsia="zh-CN"/>
        </w:rPr>
        <w:t>收件人</w:t>
      </w:r>
      <w:r>
        <w:rPr>
          <w:rFonts w:ascii="方正仿宋简体" w:hAnsi="Times New Roman" w:eastAsia="方正仿宋简体" w:cs="Times New Roman"/>
          <w:sz w:val="28"/>
          <w:lang w:eastAsia="zh-CN"/>
        </w:rPr>
        <w:t>为：</w:t>
      </w:r>
      <w:r>
        <w:rPr>
          <w:rFonts w:ascii="方正仿宋简体" w:hAnsi="Times New Roman" w:eastAsia="方正仿宋简体" w:cs="Times New Roman"/>
          <w:b/>
          <w:sz w:val="28"/>
          <w:lang w:eastAsia="zh-CN"/>
        </w:rPr>
        <w:t>场外业务部</w:t>
      </w:r>
      <w:r>
        <w:rPr>
          <w:rFonts w:ascii="方正仿宋简体" w:hAnsi="Times New Roman" w:eastAsia="方正仿宋简体" w:cs="Times New Roman"/>
          <w:sz w:val="28"/>
          <w:lang w:eastAsia="zh-CN"/>
        </w:rPr>
        <w:t>。</w:t>
      </w:r>
    </w:p>
    <w:tbl>
      <w:tblPr>
        <w:tblStyle w:val="10"/>
        <w:tblW w:w="8301" w:type="dxa"/>
        <w:jc w:val="center"/>
        <w:tblLayout w:type="fixed"/>
        <w:tblCellMar>
          <w:top w:w="0" w:type="dxa"/>
          <w:left w:w="108" w:type="dxa"/>
          <w:bottom w:w="0" w:type="dxa"/>
          <w:right w:w="108" w:type="dxa"/>
        </w:tblCellMar>
      </w:tblPr>
      <w:tblGrid>
        <w:gridCol w:w="709"/>
        <w:gridCol w:w="2877"/>
        <w:gridCol w:w="3218"/>
        <w:gridCol w:w="1497"/>
      </w:tblGrid>
      <w:tr>
        <w:tblPrEx>
          <w:tblCellMar>
            <w:top w:w="0" w:type="dxa"/>
            <w:left w:w="108" w:type="dxa"/>
            <w:bottom w:w="0" w:type="dxa"/>
            <w:right w:w="108" w:type="dxa"/>
          </w:tblCellMar>
        </w:tblPrEx>
        <w:trPr>
          <w:trHeight w:val="27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顺序</w:t>
            </w:r>
          </w:p>
        </w:tc>
        <w:tc>
          <w:tcPr>
            <w:tcW w:w="2877"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开户材料</w:t>
            </w:r>
          </w:p>
        </w:tc>
        <w:tc>
          <w:tcPr>
            <w:tcW w:w="321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纸质材料提交要求</w:t>
            </w:r>
          </w:p>
        </w:tc>
        <w:tc>
          <w:tcPr>
            <w:tcW w:w="1497"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扫描件要求</w:t>
            </w:r>
          </w:p>
        </w:tc>
      </w:tr>
      <w:tr>
        <w:tblPrEx>
          <w:tblCellMar>
            <w:top w:w="0" w:type="dxa"/>
            <w:left w:w="108" w:type="dxa"/>
            <w:bottom w:w="0" w:type="dxa"/>
            <w:right w:w="108" w:type="dxa"/>
          </w:tblCellMar>
        </w:tblPrEx>
        <w:trPr>
          <w:trHeight w:val="27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1</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交易商承诺书</w:t>
            </w:r>
          </w:p>
        </w:tc>
        <w:tc>
          <w:tcPr>
            <w:tcW w:w="3218"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　</w:t>
            </w: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989"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2</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营业执照</w:t>
            </w:r>
          </w:p>
        </w:tc>
        <w:tc>
          <w:tcPr>
            <w:tcW w:w="3218"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复印件盖公章</w:t>
            </w: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原件扫描</w:t>
            </w:r>
          </w:p>
        </w:tc>
      </w:tr>
      <w:tr>
        <w:tblPrEx>
          <w:tblCellMar>
            <w:top w:w="0" w:type="dxa"/>
            <w:left w:w="108" w:type="dxa"/>
            <w:bottom w:w="0" w:type="dxa"/>
            <w:right w:w="108" w:type="dxa"/>
          </w:tblCellMar>
        </w:tblPrEx>
        <w:trPr>
          <w:trHeight w:val="54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3</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税务信用等级证明文件</w:t>
            </w:r>
          </w:p>
        </w:tc>
        <w:tc>
          <w:tcPr>
            <w:tcW w:w="3218"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可以使用税务官网的查询结果</w:t>
            </w: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81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4</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《附件2上海期货交易所标准仓单交易业务仓单交易商开户申请表》</w:t>
            </w:r>
          </w:p>
        </w:tc>
        <w:tc>
          <w:tcPr>
            <w:tcW w:w="3218" w:type="dxa"/>
            <w:vMerge w:val="restart"/>
            <w:tcBorders>
              <w:top w:val="nil"/>
              <w:left w:val="single" w:color="auto" w:sz="4" w:space="0"/>
              <w:right w:val="single" w:color="auto" w:sz="4" w:space="0"/>
            </w:tcBorders>
            <w:shd w:val="clear" w:color="auto" w:fill="auto"/>
            <w:vAlign w:val="center"/>
          </w:tcPr>
          <w:p>
            <w:pPr>
              <w:widowControl/>
              <w:autoSpaceDE/>
              <w:autoSpaceDN/>
              <w:jc w:val="center"/>
              <w:rPr>
                <w:u w:val="single"/>
                <w:lang w:eastAsia="zh-CN"/>
              </w:rPr>
            </w:pPr>
            <w:r>
              <w:fldChar w:fldCharType="begin"/>
            </w:r>
            <w:r>
              <w:instrText xml:space="preserve"> HYPERLINK "http://swtp.shfe.com.cn/home/applytable/business/index.html（如需申请延伸仓单业务需提供延伸仓单业务交易商确认书）" </w:instrText>
            </w:r>
            <w:r>
              <w:fldChar w:fldCharType="separate"/>
            </w:r>
            <w:r>
              <w:rPr>
                <w:rStyle w:val="14"/>
                <w:rFonts w:hint="eastAsia"/>
                <w:lang w:eastAsia="zh-CN"/>
              </w:rPr>
              <w:t>http://swtp.shfe.com.cn/home/applytable/business/index.html</w:t>
            </w:r>
            <w:r>
              <w:rPr>
                <w:rStyle w:val="14"/>
                <w:rFonts w:hint="eastAsia"/>
                <w:highlight w:val="yellow"/>
                <w:lang w:eastAsia="zh-CN"/>
              </w:rPr>
              <w:t>（如需申请延伸仓单业务需提供延伸</w:t>
            </w:r>
            <w:r>
              <w:rPr>
                <w:rStyle w:val="14"/>
                <w:highlight w:val="yellow"/>
                <w:lang w:eastAsia="zh-CN"/>
              </w:rPr>
              <w:t>仓单业务交易商</w:t>
            </w:r>
            <w:r>
              <w:rPr>
                <w:rStyle w:val="14"/>
                <w:rFonts w:hint="eastAsia"/>
                <w:highlight w:val="yellow"/>
                <w:lang w:eastAsia="zh-CN"/>
              </w:rPr>
              <w:t>确认书）</w:t>
            </w:r>
            <w:r>
              <w:rPr>
                <w:rStyle w:val="14"/>
                <w:rFonts w:hint="eastAsia"/>
                <w:highlight w:val="yellow"/>
                <w:lang w:eastAsia="zh-CN"/>
              </w:rPr>
              <w:fldChar w:fldCharType="end"/>
            </w: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108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5</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《附件3上海期货交易所标准仓单交易业务开具增值税专用发票申请表》</w:t>
            </w:r>
          </w:p>
        </w:tc>
        <w:tc>
          <w:tcPr>
            <w:tcW w:w="3218" w:type="dxa"/>
            <w:vMerge w:val="continue"/>
            <w:tcBorders>
              <w:left w:val="single" w:color="auto" w:sz="4" w:space="0"/>
              <w:right w:val="single" w:color="auto" w:sz="4" w:space="0"/>
            </w:tcBorders>
            <w:shd w:val="clear" w:color="auto" w:fill="auto"/>
            <w:vAlign w:val="center"/>
          </w:tcPr>
          <w:p>
            <w:pPr>
              <w:widowControl/>
              <w:autoSpaceDE/>
              <w:autoSpaceDN/>
              <w:rPr>
                <w:u w:val="single"/>
                <w:lang w:eastAsia="zh-CN"/>
              </w:rPr>
            </w:pP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54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6</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《附件4标准仓单交易风险揭示书》</w:t>
            </w:r>
          </w:p>
        </w:tc>
        <w:tc>
          <w:tcPr>
            <w:tcW w:w="3218" w:type="dxa"/>
            <w:vMerge w:val="continue"/>
            <w:tcBorders>
              <w:left w:val="single" w:color="auto" w:sz="4" w:space="0"/>
              <w:right w:val="single" w:color="auto" w:sz="4" w:space="0"/>
            </w:tcBorders>
            <w:shd w:val="clear" w:color="auto" w:fill="auto"/>
            <w:vAlign w:val="center"/>
          </w:tcPr>
          <w:p>
            <w:pPr>
              <w:widowControl/>
              <w:autoSpaceDE/>
              <w:autoSpaceDN/>
              <w:rPr>
                <w:u w:val="single"/>
                <w:lang w:eastAsia="zh-CN"/>
              </w:rPr>
            </w:pP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27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7</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《附件5法人授权书》</w:t>
            </w:r>
          </w:p>
        </w:tc>
        <w:tc>
          <w:tcPr>
            <w:tcW w:w="3218" w:type="dxa"/>
            <w:vMerge w:val="continue"/>
            <w:tcBorders>
              <w:left w:val="single" w:color="auto" w:sz="4" w:space="0"/>
              <w:right w:val="single" w:color="auto" w:sz="4" w:space="0"/>
            </w:tcBorders>
            <w:shd w:val="clear" w:color="auto" w:fill="auto"/>
            <w:vAlign w:val="center"/>
          </w:tcPr>
          <w:p>
            <w:pPr>
              <w:widowControl/>
              <w:autoSpaceDE/>
              <w:autoSpaceDN/>
              <w:rPr>
                <w:u w:val="single"/>
                <w:lang w:eastAsia="zh-CN"/>
              </w:rPr>
            </w:pP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54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8</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《延伸仓单业务仓单交易商确认书》</w:t>
            </w:r>
          </w:p>
        </w:tc>
        <w:tc>
          <w:tcPr>
            <w:tcW w:w="3218" w:type="dxa"/>
            <w:vMerge w:val="continue"/>
            <w:tcBorders>
              <w:left w:val="single" w:color="auto" w:sz="4" w:space="0"/>
              <w:bottom w:val="single" w:color="000000" w:sz="4" w:space="0"/>
              <w:right w:val="single" w:color="auto" w:sz="4" w:space="0"/>
            </w:tcBorders>
            <w:shd w:val="clear" w:color="auto" w:fill="auto"/>
            <w:vAlign w:val="center"/>
          </w:tcPr>
          <w:p>
            <w:pPr>
              <w:widowControl/>
              <w:autoSpaceDE/>
              <w:autoSpaceDN/>
              <w:rPr>
                <w:u w:val="single"/>
                <w:lang w:eastAsia="zh-CN"/>
              </w:rPr>
            </w:pP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54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9</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bCs/>
                <w:lang w:eastAsia="zh-CN"/>
              </w:rPr>
              <w:t>《上期综合业务平台保税标准仓单交易业务（能源中心品种）仓单交易商确认书》</w:t>
            </w:r>
          </w:p>
        </w:tc>
        <w:tc>
          <w:tcPr>
            <w:tcW w:w="3218" w:type="dxa"/>
            <w:vMerge w:val="restart"/>
            <w:tcBorders>
              <w:left w:val="single" w:color="auto" w:sz="4" w:space="0"/>
              <w:right w:val="single" w:color="auto" w:sz="4" w:space="0"/>
            </w:tcBorders>
            <w:shd w:val="clear" w:color="auto" w:fill="auto"/>
            <w:vAlign w:val="center"/>
          </w:tcPr>
          <w:p>
            <w:pPr>
              <w:widowControl/>
              <w:autoSpaceDE/>
              <w:autoSpaceDN/>
              <w:rPr>
                <w:u w:val="single"/>
                <w:lang w:eastAsia="zh-CN"/>
              </w:rPr>
            </w:pPr>
            <w:r>
              <w:rPr>
                <w:rFonts w:hint="eastAsia"/>
                <w:highlight w:val="yellow"/>
                <w:u w:val="single"/>
                <w:lang w:eastAsia="zh-CN"/>
              </w:rPr>
              <w:t>（如需申请</w:t>
            </w:r>
            <w:r>
              <w:rPr>
                <w:highlight w:val="yellow"/>
                <w:u w:val="single"/>
                <w:lang w:eastAsia="zh-CN"/>
              </w:rPr>
              <w:t>20号胶标准仓单</w:t>
            </w:r>
            <w:r>
              <w:rPr>
                <w:rFonts w:hint="eastAsia"/>
                <w:highlight w:val="yellow"/>
                <w:u w:val="single"/>
                <w:lang w:eastAsia="zh-CN"/>
              </w:rPr>
              <w:t>交易</w:t>
            </w:r>
            <w:r>
              <w:rPr>
                <w:highlight w:val="yellow"/>
                <w:u w:val="single"/>
                <w:lang w:eastAsia="zh-CN"/>
              </w:rPr>
              <w:t>业务）</w:t>
            </w: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54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10</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bCs/>
                <w:lang w:eastAsia="zh-CN"/>
              </w:rPr>
              <w:t>《海关进出口货物收发货人备案回执》</w:t>
            </w:r>
          </w:p>
        </w:tc>
        <w:tc>
          <w:tcPr>
            <w:tcW w:w="3218" w:type="dxa"/>
            <w:vMerge w:val="continue"/>
            <w:tcBorders>
              <w:left w:val="single" w:color="auto" w:sz="4" w:space="0"/>
              <w:bottom w:val="single" w:color="000000" w:sz="4" w:space="0"/>
              <w:right w:val="single" w:color="auto" w:sz="4" w:space="0"/>
            </w:tcBorders>
            <w:shd w:val="clear" w:color="auto" w:fill="auto"/>
            <w:vAlign w:val="center"/>
          </w:tcPr>
          <w:p>
            <w:pPr>
              <w:widowControl/>
              <w:autoSpaceDE/>
              <w:autoSpaceDN/>
              <w:rPr>
                <w:u w:val="single"/>
                <w:lang w:eastAsia="zh-CN"/>
              </w:rPr>
            </w:pP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321"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11</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法人身份证复印件</w:t>
            </w:r>
          </w:p>
        </w:tc>
        <w:tc>
          <w:tcPr>
            <w:tcW w:w="3218" w:type="dxa"/>
            <w:tcBorders>
              <w:top w:val="nil"/>
              <w:left w:val="single" w:color="auto" w:sz="4" w:space="0"/>
              <w:bottom w:val="single" w:color="000000" w:sz="4" w:space="0"/>
              <w:right w:val="single" w:color="auto" w:sz="4" w:space="0"/>
            </w:tcBorders>
            <w:shd w:val="clear" w:color="auto" w:fill="auto"/>
            <w:vAlign w:val="center"/>
          </w:tcPr>
          <w:p>
            <w:pPr>
              <w:widowControl/>
              <w:autoSpaceDE/>
              <w:autoSpaceDN/>
              <w:jc w:val="center"/>
              <w:rPr>
                <w:u w:val="single"/>
                <w:lang w:eastAsia="zh-CN"/>
              </w:rPr>
            </w:pPr>
            <w:r>
              <w:rPr>
                <w:rFonts w:hint="eastAsia"/>
                <w:bCs/>
                <w:lang w:eastAsia="zh-CN"/>
              </w:rPr>
              <w:t>复印件盖公章</w:t>
            </w: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27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12</w:t>
            </w:r>
          </w:p>
        </w:tc>
        <w:tc>
          <w:tcPr>
            <w:tcW w:w="2877"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bCs/>
                <w:lang w:eastAsia="zh-CN"/>
              </w:rPr>
            </w:pPr>
            <w:r>
              <w:rPr>
                <w:rFonts w:hint="eastAsia"/>
                <w:bCs/>
                <w:lang w:eastAsia="zh-CN"/>
              </w:rPr>
              <w:t>经办人身份证复印件</w:t>
            </w:r>
          </w:p>
        </w:tc>
        <w:tc>
          <w:tcPr>
            <w:tcW w:w="3218"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经办人须得到法人授权</w:t>
            </w: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81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13</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拟交易品种增值税销项发票复印件</w:t>
            </w:r>
          </w:p>
        </w:tc>
        <w:tc>
          <w:tcPr>
            <w:tcW w:w="3218"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每个品种提供一份即可，按照品种分开盖章</w:t>
            </w: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盖章后扫描</w:t>
            </w:r>
          </w:p>
        </w:tc>
      </w:tr>
      <w:tr>
        <w:tblPrEx>
          <w:tblCellMar>
            <w:top w:w="0" w:type="dxa"/>
            <w:left w:w="108" w:type="dxa"/>
            <w:bottom w:w="0" w:type="dxa"/>
            <w:right w:w="108" w:type="dxa"/>
          </w:tblCellMar>
        </w:tblPrEx>
        <w:trPr>
          <w:trHeight w:val="108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bCs/>
                <w:lang w:eastAsia="zh-CN"/>
              </w:rPr>
              <w:t>1</w:t>
            </w:r>
            <w:r>
              <w:rPr>
                <w:rFonts w:hint="eastAsia"/>
                <w:bCs/>
                <w:lang w:eastAsia="zh-CN"/>
              </w:rPr>
              <w:t>4</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最近年度经审计的财务报表</w:t>
            </w:r>
          </w:p>
        </w:tc>
        <w:tc>
          <w:tcPr>
            <w:tcW w:w="3218"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纸质版需要整本提供</w:t>
            </w: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只需扫描会计师事务所出具的审计意见部分</w:t>
            </w:r>
          </w:p>
        </w:tc>
      </w:tr>
      <w:tr>
        <w:tblPrEx>
          <w:tblCellMar>
            <w:top w:w="0" w:type="dxa"/>
            <w:left w:w="108" w:type="dxa"/>
            <w:bottom w:w="0" w:type="dxa"/>
            <w:right w:w="108" w:type="dxa"/>
          </w:tblCellMar>
        </w:tblPrEx>
        <w:trPr>
          <w:trHeight w:val="162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1</w:t>
            </w:r>
            <w:r>
              <w:rPr>
                <w:bCs/>
                <w:lang w:eastAsia="zh-CN"/>
              </w:rPr>
              <w:t>5</w:t>
            </w:r>
          </w:p>
        </w:tc>
        <w:tc>
          <w:tcPr>
            <w:tcW w:w="2877"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《上海期货交易所标准仓单交易业务仓单交易商协议》</w:t>
            </w:r>
          </w:p>
        </w:tc>
        <w:tc>
          <w:tcPr>
            <w:tcW w:w="3218" w:type="dxa"/>
            <w:tcBorders>
              <w:top w:val="nil"/>
              <w:left w:val="nil"/>
              <w:bottom w:val="single" w:color="auto" w:sz="4" w:space="0"/>
              <w:right w:val="single" w:color="auto" w:sz="4" w:space="0"/>
            </w:tcBorders>
            <w:shd w:val="clear" w:color="auto" w:fill="auto"/>
            <w:vAlign w:val="center"/>
          </w:tcPr>
          <w:p>
            <w:pPr>
              <w:widowControl/>
              <w:autoSpaceDE/>
              <w:autoSpaceDN/>
              <w:jc w:val="center"/>
              <w:rPr>
                <w:bCs/>
                <w:lang w:eastAsia="zh-CN"/>
              </w:rPr>
            </w:pPr>
            <w:r>
              <w:rPr>
                <w:rFonts w:hint="eastAsia"/>
                <w:bCs/>
                <w:lang w:eastAsia="zh-CN"/>
              </w:rPr>
              <w:t>纸质版交易商协议一式两份，需要</w:t>
            </w:r>
            <w:r>
              <w:rPr>
                <w:rFonts w:hint="eastAsia"/>
                <w:bCs/>
                <w:highlight w:val="yellow"/>
                <w:lang w:eastAsia="zh-CN"/>
              </w:rPr>
              <w:t>单面打印后</w:t>
            </w:r>
            <w:r>
              <w:rPr>
                <w:bCs/>
                <w:highlight w:val="yellow"/>
                <w:lang w:eastAsia="zh-CN"/>
              </w:rPr>
              <w:t>填写</w:t>
            </w:r>
            <w:r>
              <w:rPr>
                <w:rFonts w:hint="eastAsia"/>
                <w:bCs/>
                <w:lang w:eastAsia="zh-CN"/>
              </w:rPr>
              <w:t>，加盖骑缝章，骑缝章请确保协议每页都有清晰印章字样。</w:t>
            </w:r>
            <w:r>
              <w:rPr>
                <w:rFonts w:hint="eastAsia"/>
                <w:b/>
                <w:bCs/>
                <w:color w:val="FF0000"/>
                <w:lang w:eastAsia="zh-CN"/>
              </w:rPr>
              <w:t>首页签约日期请务必留空</w:t>
            </w:r>
          </w:p>
        </w:tc>
        <w:tc>
          <w:tcPr>
            <w:tcW w:w="1497"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lang w:eastAsia="zh-CN"/>
              </w:rPr>
            </w:pPr>
            <w:r>
              <w:rPr>
                <w:rFonts w:hint="eastAsia"/>
                <w:b/>
                <w:bCs/>
                <w:color w:val="FF0000"/>
                <w:lang w:eastAsia="zh-CN"/>
              </w:rPr>
              <w:t>不需要扫描</w:t>
            </w:r>
          </w:p>
        </w:tc>
      </w:tr>
    </w:tbl>
    <w:p>
      <w:pPr>
        <w:pStyle w:val="16"/>
        <w:numPr>
          <w:ilvl w:val="0"/>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需要</w:t>
      </w:r>
      <w:r>
        <w:rPr>
          <w:rFonts w:ascii="方正仿宋简体" w:hAnsi="Times New Roman" w:eastAsia="方正仿宋简体" w:cs="Times New Roman"/>
          <w:sz w:val="28"/>
          <w:lang w:eastAsia="zh-CN"/>
        </w:rPr>
        <w:t>递交的</w:t>
      </w:r>
      <w:r>
        <w:rPr>
          <w:rFonts w:hint="eastAsia" w:ascii="方正仿宋简体" w:hAnsi="Times New Roman" w:eastAsia="方正仿宋简体" w:cs="Times New Roman"/>
          <w:sz w:val="28"/>
          <w:lang w:eastAsia="zh-CN"/>
        </w:rPr>
        <w:t>纸质版开户材料包括（</w:t>
      </w:r>
      <w:r>
        <w:rPr>
          <w:rFonts w:hint="eastAsia" w:ascii="方正仿宋简体" w:hAnsi="Times New Roman" w:eastAsia="方正仿宋简体" w:cs="Times New Roman"/>
          <w:b/>
          <w:sz w:val="28"/>
          <w:lang w:eastAsia="zh-CN"/>
        </w:rPr>
        <w:t>所有</w:t>
      </w:r>
      <w:r>
        <w:rPr>
          <w:rFonts w:ascii="方正仿宋简体" w:hAnsi="Times New Roman" w:eastAsia="方正仿宋简体" w:cs="Times New Roman"/>
          <w:b/>
          <w:sz w:val="28"/>
          <w:lang w:eastAsia="zh-CN"/>
        </w:rPr>
        <w:t>材料需加盖公章，单份材料大于两页的需加盖骑缝章</w:t>
      </w:r>
      <w:r>
        <w:rPr>
          <w:rFonts w:hint="eastAsia" w:ascii="方正仿宋简体" w:hAnsi="Times New Roman" w:eastAsia="方正仿宋简体" w:cs="Times New Roman"/>
          <w:sz w:val="28"/>
          <w:lang w:eastAsia="zh-CN"/>
        </w:rPr>
        <w:t>）：</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交易商承诺书；</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营业执照复印件，若营业执照中经营范围信息不完整，须提供公司章程等补充材料；</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税务信用等级证明</w:t>
      </w:r>
      <w:r>
        <w:rPr>
          <w:rFonts w:ascii="方正仿宋简体" w:hAnsi="Times New Roman" w:eastAsia="方正仿宋简体" w:cs="Times New Roman"/>
          <w:sz w:val="28"/>
          <w:lang w:eastAsia="zh-CN"/>
        </w:rPr>
        <w:t>文件</w:t>
      </w:r>
      <w:r>
        <w:rPr>
          <w:rFonts w:hint="eastAsia" w:ascii="方正仿宋简体" w:hAnsi="Times New Roman" w:eastAsia="方正仿宋简体" w:cs="Times New Roman"/>
          <w:sz w:val="28"/>
          <w:lang w:eastAsia="zh-CN"/>
        </w:rPr>
        <w:t>(需要</w:t>
      </w:r>
      <w:r>
        <w:rPr>
          <w:rFonts w:ascii="方正仿宋简体" w:hAnsi="Times New Roman" w:eastAsia="方正仿宋简体" w:cs="Times New Roman"/>
          <w:sz w:val="28"/>
          <w:lang w:eastAsia="zh-CN"/>
        </w:rPr>
        <w:t>达到</w:t>
      </w:r>
      <w:r>
        <w:rPr>
          <w:rFonts w:ascii="方正仿宋简体" w:hAnsi="Times New Roman" w:eastAsia="方正仿宋简体" w:cs="Times New Roman"/>
          <w:b/>
          <w:sz w:val="28"/>
          <w:lang w:eastAsia="zh-CN"/>
        </w:rPr>
        <w:t>B</w:t>
      </w:r>
      <w:r>
        <w:rPr>
          <w:rFonts w:hint="eastAsia" w:ascii="方正仿宋简体" w:hAnsi="Times New Roman" w:eastAsia="方正仿宋简体" w:cs="Times New Roman"/>
          <w:b/>
          <w:sz w:val="28"/>
          <w:lang w:eastAsia="zh-CN"/>
        </w:rPr>
        <w:t>级及以上</w:t>
      </w:r>
      <w:r>
        <w:rPr>
          <w:rFonts w:hint="eastAsia" w:ascii="方正仿宋简体" w:hAnsi="Times New Roman" w:eastAsia="方正仿宋简体" w:cs="Times New Roman"/>
          <w:sz w:val="28"/>
          <w:lang w:eastAsia="zh-CN"/>
        </w:rPr>
        <w:t>)；</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《附件</w:t>
      </w:r>
      <w:r>
        <w:rPr>
          <w:rFonts w:ascii="Times New Roman" w:hAnsi="Times New Roman" w:eastAsia="方正仿宋简体" w:cs="Times New Roman"/>
          <w:sz w:val="28"/>
          <w:lang w:eastAsia="zh-CN"/>
        </w:rPr>
        <w:t>2</w:t>
      </w:r>
      <w:r>
        <w:rPr>
          <w:rFonts w:hint="eastAsia" w:ascii="方正仿宋简体" w:hAnsi="Times New Roman" w:eastAsia="方正仿宋简体" w:cs="Times New Roman"/>
          <w:sz w:val="28"/>
          <w:lang w:eastAsia="zh-CN"/>
        </w:rPr>
        <w:t>上海期货交易所标准仓单交易业务仓单交易商开户申请表》。单位简称由申请单位自拟，一般为四个汉字。开通用户数量填写</w:t>
      </w:r>
      <w:r>
        <w:rPr>
          <w:rFonts w:ascii="Times New Roman" w:hAnsi="Times New Roman" w:eastAsia="方正仿宋简体" w:cs="Times New Roman"/>
          <w:sz w:val="28"/>
          <w:lang w:eastAsia="zh-CN"/>
        </w:rPr>
        <w:t>2</w:t>
      </w:r>
      <w:r>
        <w:rPr>
          <w:rFonts w:hint="eastAsia" w:ascii="方正仿宋简体" w:hAnsi="Times New Roman" w:eastAsia="方正仿宋简体" w:cs="Times New Roman"/>
          <w:sz w:val="28"/>
          <w:lang w:eastAsia="zh-CN"/>
        </w:rPr>
        <w:t>-</w:t>
      </w:r>
      <w:r>
        <w:rPr>
          <w:rFonts w:ascii="Times New Roman" w:hAnsi="Times New Roman" w:eastAsia="方正仿宋简体" w:cs="Times New Roman"/>
          <w:sz w:val="28"/>
          <w:lang w:eastAsia="zh-CN"/>
        </w:rPr>
        <w:t>10</w:t>
      </w:r>
      <w:r>
        <w:rPr>
          <w:rFonts w:hint="eastAsia" w:ascii="方正仿宋简体" w:hAnsi="Times New Roman" w:eastAsia="方正仿宋简体" w:cs="Times New Roman"/>
          <w:sz w:val="28"/>
          <w:lang w:eastAsia="zh-CN"/>
        </w:rPr>
        <w:t>，一个账户最多可开立</w:t>
      </w:r>
      <w:r>
        <w:rPr>
          <w:rFonts w:ascii="Times New Roman" w:hAnsi="Times New Roman" w:eastAsia="方正仿宋简体" w:cs="Times New Roman"/>
          <w:sz w:val="28"/>
          <w:lang w:eastAsia="zh-CN"/>
        </w:rPr>
        <w:t>10</w:t>
      </w:r>
      <w:r>
        <w:rPr>
          <w:rFonts w:hint="eastAsia" w:ascii="方正仿宋简体" w:hAnsi="Times New Roman" w:eastAsia="方正仿宋简体" w:cs="Times New Roman"/>
          <w:sz w:val="28"/>
          <w:lang w:eastAsia="zh-CN"/>
        </w:rPr>
        <w:t>个交易客户端用户，至少开立</w:t>
      </w:r>
      <w:r>
        <w:rPr>
          <w:rFonts w:ascii="Times New Roman" w:hAnsi="Times New Roman" w:eastAsia="方正仿宋简体" w:cs="Times New Roman"/>
          <w:sz w:val="28"/>
          <w:lang w:eastAsia="zh-CN"/>
        </w:rPr>
        <w:t>2</w:t>
      </w:r>
      <w:r>
        <w:rPr>
          <w:rFonts w:hint="eastAsia" w:ascii="方正仿宋简体" w:hAnsi="Times New Roman" w:eastAsia="方正仿宋简体" w:cs="Times New Roman"/>
          <w:sz w:val="28"/>
          <w:lang w:eastAsia="zh-CN"/>
        </w:rPr>
        <w:t xml:space="preserve"> 个系统用户，其中，</w:t>
      </w:r>
      <w:r>
        <w:rPr>
          <w:rFonts w:ascii="Times New Roman" w:hAnsi="Times New Roman" w:eastAsia="方正仿宋简体" w:cs="Times New Roman"/>
          <w:sz w:val="28"/>
          <w:lang w:eastAsia="zh-CN"/>
        </w:rPr>
        <w:t>01</w:t>
      </w:r>
      <w:r>
        <w:rPr>
          <w:rFonts w:hint="eastAsia" w:ascii="方正仿宋简体" w:hAnsi="Times New Roman" w:eastAsia="方正仿宋简体" w:cs="Times New Roman"/>
          <w:sz w:val="28"/>
          <w:lang w:eastAsia="zh-CN"/>
        </w:rPr>
        <w:t xml:space="preserve"> 用户为默认管理员用户，用以配置其他用户的具体功能权限，以满足企业内控管理的需要；</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《附件</w:t>
      </w:r>
      <w:r>
        <w:rPr>
          <w:rFonts w:ascii="Times New Roman" w:hAnsi="Times New Roman" w:eastAsia="方正仿宋简体" w:cs="Times New Roman"/>
          <w:sz w:val="28"/>
          <w:lang w:eastAsia="zh-CN"/>
        </w:rPr>
        <w:t>3</w:t>
      </w:r>
      <w:r>
        <w:rPr>
          <w:rFonts w:hint="eastAsia" w:ascii="方正仿宋简体" w:hAnsi="Times New Roman" w:eastAsia="方正仿宋简体" w:cs="Times New Roman"/>
          <w:sz w:val="28"/>
          <w:lang w:eastAsia="zh-CN"/>
        </w:rPr>
        <w:t>上海期货交易所标准仓单交易业务开具增值税专用发票申请表》。申请单位应正确填写《开具增值税专用发票申请表》中的开票信息、邮寄发票地址、专票领用人等，并选择希望领取发票的形式（现场领取或者邮递， 只能选择其一），交易所将以此为依据，开具并传递增值税专用发票；</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《附件</w:t>
      </w:r>
      <w:r>
        <w:rPr>
          <w:rFonts w:ascii="Times New Roman" w:hAnsi="Times New Roman" w:eastAsia="方正仿宋简体" w:cs="Times New Roman"/>
          <w:sz w:val="28"/>
          <w:lang w:eastAsia="zh-CN"/>
        </w:rPr>
        <w:t>4</w:t>
      </w:r>
      <w:r>
        <w:rPr>
          <w:rFonts w:hint="eastAsia" w:ascii="方正仿宋简体" w:hAnsi="Times New Roman" w:eastAsia="方正仿宋简体" w:cs="Times New Roman"/>
          <w:sz w:val="28"/>
          <w:lang w:eastAsia="zh-CN"/>
        </w:rPr>
        <w:t>标准仓单交易风险揭示书》；</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《附件</w:t>
      </w:r>
      <w:r>
        <w:rPr>
          <w:rFonts w:ascii="Times New Roman" w:hAnsi="Times New Roman" w:eastAsia="方正仿宋简体" w:cs="Times New Roman"/>
          <w:sz w:val="28"/>
          <w:lang w:eastAsia="zh-CN"/>
        </w:rPr>
        <w:t>5</w:t>
      </w:r>
      <w:r>
        <w:rPr>
          <w:rFonts w:hint="eastAsia" w:ascii="方正仿宋简体" w:hAnsi="Times New Roman" w:eastAsia="方正仿宋简体" w:cs="Times New Roman"/>
          <w:sz w:val="28"/>
          <w:lang w:eastAsia="zh-CN"/>
        </w:rPr>
        <w:t>法人授权书》；</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《延伸仓单业务仓单交易商确认书》（</w:t>
      </w:r>
      <w:r>
        <w:rPr>
          <w:rFonts w:hint="eastAsia" w:ascii="方正仿宋简体" w:hAnsi="Times New Roman" w:eastAsia="方正仿宋简体" w:cs="Times New Roman"/>
          <w:b/>
          <w:sz w:val="28"/>
          <w:lang w:eastAsia="zh-CN"/>
        </w:rPr>
        <w:t>如需</w:t>
      </w:r>
      <w:r>
        <w:rPr>
          <w:rFonts w:ascii="方正仿宋简体" w:hAnsi="Times New Roman" w:eastAsia="方正仿宋简体" w:cs="Times New Roman"/>
          <w:b/>
          <w:sz w:val="28"/>
          <w:lang w:eastAsia="zh-CN"/>
        </w:rPr>
        <w:t>开通延伸仓单业务提供</w:t>
      </w:r>
      <w:r>
        <w:rPr>
          <w:rFonts w:hint="eastAsia" w:ascii="方正仿宋简体" w:hAnsi="Times New Roman" w:eastAsia="方正仿宋简体" w:cs="Times New Roman"/>
          <w:sz w:val="28"/>
          <w:lang w:eastAsia="zh-CN"/>
        </w:rPr>
        <w:t>）；</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《上期综合业务平台保税标准仓单交易业务（能源中心品种）仓单交易商确认书》（</w:t>
      </w:r>
      <w:r>
        <w:rPr>
          <w:rFonts w:hint="eastAsia" w:ascii="方正仿宋简体" w:hAnsi="Times New Roman" w:eastAsia="方正仿宋简体" w:cs="Times New Roman"/>
          <w:b/>
          <w:sz w:val="28"/>
          <w:lang w:eastAsia="zh-CN"/>
        </w:rPr>
        <w:t>如需</w:t>
      </w:r>
      <w:r>
        <w:rPr>
          <w:rFonts w:ascii="方正仿宋简体" w:hAnsi="Times New Roman" w:eastAsia="方正仿宋简体" w:cs="Times New Roman"/>
          <w:b/>
          <w:sz w:val="28"/>
          <w:lang w:eastAsia="zh-CN"/>
        </w:rPr>
        <w:t>开通</w:t>
      </w:r>
      <w:r>
        <w:rPr>
          <w:rFonts w:hint="eastAsia" w:ascii="方正仿宋简体" w:hAnsi="Times New Roman" w:eastAsia="方正仿宋简体" w:cs="Times New Roman"/>
          <w:b/>
          <w:sz w:val="28"/>
          <w:lang w:eastAsia="zh-CN"/>
        </w:rPr>
        <w:t>2</w:t>
      </w:r>
      <w:r>
        <w:rPr>
          <w:rFonts w:ascii="方正仿宋简体" w:hAnsi="Times New Roman" w:eastAsia="方正仿宋简体" w:cs="Times New Roman"/>
          <w:b/>
          <w:sz w:val="28"/>
          <w:lang w:eastAsia="zh-CN"/>
        </w:rPr>
        <w:t>0</w:t>
      </w:r>
      <w:r>
        <w:rPr>
          <w:rFonts w:hint="eastAsia" w:ascii="方正仿宋简体" w:hAnsi="Times New Roman" w:eastAsia="方正仿宋简体" w:cs="Times New Roman"/>
          <w:b/>
          <w:sz w:val="28"/>
          <w:lang w:eastAsia="zh-CN"/>
        </w:rPr>
        <w:t>号</w:t>
      </w:r>
      <w:r>
        <w:rPr>
          <w:rFonts w:ascii="方正仿宋简体" w:hAnsi="Times New Roman" w:eastAsia="方正仿宋简体" w:cs="Times New Roman"/>
          <w:b/>
          <w:sz w:val="28"/>
          <w:lang w:eastAsia="zh-CN"/>
        </w:rPr>
        <w:t>胶标准仓单业务提供</w:t>
      </w:r>
      <w:r>
        <w:rPr>
          <w:rFonts w:hint="eastAsia" w:ascii="方正仿宋简体" w:hAnsi="Times New Roman" w:eastAsia="方正仿宋简体" w:cs="Times New Roman"/>
          <w:sz w:val="28"/>
          <w:lang w:eastAsia="zh-CN"/>
        </w:rPr>
        <w:t>）</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《海关进出口</w:t>
      </w:r>
      <w:r>
        <w:rPr>
          <w:rFonts w:ascii="方正仿宋简体" w:hAnsi="Times New Roman" w:eastAsia="方正仿宋简体" w:cs="Times New Roman"/>
          <w:sz w:val="28"/>
          <w:lang w:eastAsia="zh-CN"/>
        </w:rPr>
        <w:t>货物收发货人备案回执</w:t>
      </w:r>
      <w:r>
        <w:rPr>
          <w:rFonts w:hint="eastAsia" w:ascii="方正仿宋简体" w:hAnsi="Times New Roman" w:eastAsia="方正仿宋简体" w:cs="Times New Roman"/>
          <w:sz w:val="28"/>
          <w:lang w:eastAsia="zh-CN"/>
        </w:rPr>
        <w:t>》复印件（</w:t>
      </w:r>
      <w:r>
        <w:rPr>
          <w:rFonts w:hint="eastAsia" w:ascii="方正仿宋简体" w:hAnsi="Times New Roman" w:eastAsia="方正仿宋简体" w:cs="Times New Roman"/>
          <w:b/>
          <w:sz w:val="28"/>
          <w:lang w:eastAsia="zh-CN"/>
        </w:rPr>
        <w:t>如需</w:t>
      </w:r>
      <w:r>
        <w:rPr>
          <w:rFonts w:ascii="方正仿宋简体" w:hAnsi="Times New Roman" w:eastAsia="方正仿宋简体" w:cs="Times New Roman"/>
          <w:b/>
          <w:sz w:val="28"/>
          <w:lang w:eastAsia="zh-CN"/>
        </w:rPr>
        <w:t>开通</w:t>
      </w:r>
      <w:r>
        <w:rPr>
          <w:rFonts w:hint="eastAsia" w:ascii="方正仿宋简体" w:hAnsi="Times New Roman" w:eastAsia="方正仿宋简体" w:cs="Times New Roman"/>
          <w:b/>
          <w:sz w:val="28"/>
          <w:lang w:eastAsia="zh-CN"/>
        </w:rPr>
        <w:t>2</w:t>
      </w:r>
      <w:r>
        <w:rPr>
          <w:rFonts w:ascii="方正仿宋简体" w:hAnsi="Times New Roman" w:eastAsia="方正仿宋简体" w:cs="Times New Roman"/>
          <w:b/>
          <w:sz w:val="28"/>
          <w:lang w:eastAsia="zh-CN"/>
        </w:rPr>
        <w:t>0</w:t>
      </w:r>
      <w:r>
        <w:rPr>
          <w:rFonts w:hint="eastAsia" w:ascii="方正仿宋简体" w:hAnsi="Times New Roman" w:eastAsia="方正仿宋简体" w:cs="Times New Roman"/>
          <w:b/>
          <w:sz w:val="28"/>
          <w:lang w:eastAsia="zh-CN"/>
        </w:rPr>
        <w:t>号</w:t>
      </w:r>
      <w:r>
        <w:rPr>
          <w:rFonts w:ascii="方正仿宋简体" w:hAnsi="Times New Roman" w:eastAsia="方正仿宋简体" w:cs="Times New Roman"/>
          <w:b/>
          <w:sz w:val="28"/>
          <w:lang w:eastAsia="zh-CN"/>
        </w:rPr>
        <w:t>胶标准仓单业务提供</w:t>
      </w:r>
      <w:r>
        <w:rPr>
          <w:rFonts w:hint="eastAsia" w:ascii="方正仿宋简体" w:hAnsi="Times New Roman" w:eastAsia="方正仿宋简体" w:cs="Times New Roman"/>
          <w:sz w:val="28"/>
          <w:lang w:eastAsia="zh-CN"/>
        </w:rPr>
        <w:t>）</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法人身份证复印件；</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经办人身份证复印件；</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拟交易品种的增值税销项发票，</w:t>
      </w:r>
      <w:r>
        <w:rPr>
          <w:rFonts w:hint="eastAsia" w:ascii="方正仿宋简体" w:hAnsi="Times New Roman" w:eastAsia="方正仿宋简体" w:cs="Times New Roman"/>
          <w:b/>
          <w:sz w:val="28"/>
          <w:lang w:eastAsia="zh-CN"/>
        </w:rPr>
        <w:t>每个品种</w:t>
      </w:r>
      <w:r>
        <w:rPr>
          <w:rFonts w:hint="eastAsia" w:ascii="方正仿宋简体" w:hAnsi="Times New Roman" w:eastAsia="方正仿宋简体" w:cs="Times New Roman"/>
          <w:sz w:val="28"/>
          <w:lang w:eastAsia="zh-CN"/>
        </w:rPr>
        <w:t>各一份；</w:t>
      </w:r>
      <w:r>
        <w:rPr>
          <w:rFonts w:ascii="方正仿宋简体" w:hAnsi="Times New Roman" w:eastAsia="方正仿宋简体" w:cs="Times New Roman"/>
          <w:sz w:val="28"/>
          <w:lang w:eastAsia="zh-CN"/>
        </w:rPr>
        <w:t>（如果申请白银品种权限则需要最近连续三年每年提供一份销项发票及对应合同）</w:t>
      </w:r>
      <w:r>
        <w:rPr>
          <w:rFonts w:hint="eastAsia" w:ascii="方正仿宋简体" w:hAnsi="Times New Roman" w:eastAsia="方正仿宋简体" w:cs="Times New Roman"/>
          <w:sz w:val="28"/>
          <w:lang w:eastAsia="zh-CN"/>
        </w:rPr>
        <w:t>；</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最近年度</w:t>
      </w:r>
      <w:r>
        <w:rPr>
          <w:rFonts w:hint="eastAsia" w:ascii="方正仿宋简体" w:hAnsi="Times New Roman" w:eastAsia="方正仿宋简体" w:cs="Times New Roman"/>
          <w:b/>
          <w:sz w:val="28"/>
          <w:lang w:eastAsia="zh-CN"/>
        </w:rPr>
        <w:t>经审计的</w:t>
      </w:r>
      <w:r>
        <w:rPr>
          <w:rFonts w:hint="eastAsia" w:ascii="方正仿宋简体" w:hAnsi="Times New Roman" w:eastAsia="方正仿宋简体" w:cs="Times New Roman"/>
          <w:sz w:val="28"/>
          <w:lang w:eastAsia="zh-CN"/>
        </w:rPr>
        <w:t>出具无保留意见的财务报表；</w:t>
      </w:r>
    </w:p>
    <w:p>
      <w:pPr>
        <w:pStyle w:val="16"/>
        <w:numPr>
          <w:ilvl w:val="1"/>
          <w:numId w:val="1"/>
        </w:numPr>
        <w:autoSpaceDE/>
        <w:autoSpaceDN/>
        <w:spacing w:before="0"/>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《上海期货交易所标准仓单交易业务仓单交易商协议》</w:t>
      </w:r>
      <w:r>
        <w:rPr>
          <w:rFonts w:ascii="Times New Roman" w:hAnsi="Times New Roman" w:eastAsia="方正仿宋简体" w:cs="Times New Roman"/>
          <w:sz w:val="28"/>
          <w:lang w:eastAsia="zh-CN"/>
        </w:rPr>
        <w:t>2</w:t>
      </w:r>
      <w:r>
        <w:rPr>
          <w:rFonts w:hint="eastAsia" w:ascii="方正仿宋简体" w:hAnsi="Times New Roman" w:eastAsia="方正仿宋简体" w:cs="Times New Roman"/>
          <w:sz w:val="28"/>
          <w:lang w:eastAsia="zh-CN"/>
        </w:rPr>
        <w:t>份，纸质版交易商协议需要</w:t>
      </w:r>
      <w:r>
        <w:rPr>
          <w:rFonts w:hint="eastAsia" w:ascii="方正仿宋简体" w:hAnsi="Times New Roman" w:eastAsia="方正仿宋简体" w:cs="Times New Roman"/>
          <w:b/>
          <w:sz w:val="28"/>
          <w:lang w:eastAsia="zh-CN"/>
        </w:rPr>
        <w:t>单面打印，加盖骑缝章</w:t>
      </w:r>
      <w:r>
        <w:rPr>
          <w:rFonts w:hint="eastAsia" w:ascii="方正仿宋简体" w:hAnsi="Times New Roman" w:eastAsia="方正仿宋简体" w:cs="Times New Roman"/>
          <w:sz w:val="28"/>
          <w:lang w:eastAsia="zh-CN"/>
        </w:rPr>
        <w:t>，骑缝章请确保协议每页都有清晰印章字样。首页</w:t>
      </w:r>
      <w:r>
        <w:rPr>
          <w:rFonts w:hint="eastAsia" w:ascii="方正仿宋简体" w:hAnsi="Times New Roman" w:eastAsia="方正仿宋简体" w:cs="Times New Roman"/>
          <w:b/>
          <w:sz w:val="28"/>
          <w:lang w:eastAsia="zh-CN"/>
        </w:rPr>
        <w:t>签约日期请务必留空</w:t>
      </w:r>
      <w:r>
        <w:rPr>
          <w:rFonts w:hint="eastAsia" w:ascii="方正仿宋简体" w:hAnsi="Times New Roman" w:eastAsia="方正仿宋简体" w:cs="Times New Roman"/>
          <w:sz w:val="28"/>
          <w:lang w:eastAsia="zh-CN"/>
        </w:rPr>
        <w:t>。</w:t>
      </w:r>
    </w:p>
    <w:p>
      <w:pPr>
        <w:pStyle w:val="16"/>
        <w:numPr>
          <w:ilvl w:val="0"/>
          <w:numId w:val="1"/>
        </w:numPr>
        <w:autoSpaceDE/>
        <w:autoSpaceDN/>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纸质版开户材料递交后，可在</w:t>
      </w:r>
      <w:r>
        <w:rPr>
          <w:rFonts w:ascii="方正仿宋简体" w:hAnsi="Times New Roman" w:eastAsia="方正仿宋简体" w:cs="Times New Roman"/>
          <w:sz w:val="28"/>
          <w:lang w:eastAsia="zh-CN"/>
        </w:rPr>
        <w:t>开户</w:t>
      </w:r>
      <w:r>
        <w:rPr>
          <w:rFonts w:hint="eastAsia" w:ascii="方正仿宋简体" w:hAnsi="Times New Roman" w:eastAsia="方正仿宋简体" w:cs="Times New Roman"/>
          <w:sz w:val="28"/>
          <w:lang w:eastAsia="zh-CN"/>
        </w:rPr>
        <w:t>申请</w:t>
      </w:r>
      <w:r>
        <w:rPr>
          <w:rFonts w:ascii="方正仿宋简体" w:hAnsi="Times New Roman" w:eastAsia="方正仿宋简体" w:cs="Times New Roman"/>
          <w:sz w:val="28"/>
          <w:lang w:eastAsia="zh-CN"/>
        </w:rPr>
        <w:t>材料中下载</w:t>
      </w:r>
      <w:r>
        <w:rPr>
          <w:rFonts w:hint="eastAsia" w:ascii="方正仿宋简体" w:hAnsi="Times New Roman" w:eastAsia="方正仿宋简体" w:cs="Times New Roman"/>
          <w:sz w:val="28"/>
          <w:lang w:eastAsia="zh-CN"/>
        </w:rPr>
        <w:t>一份《标准仓单交易业务存管银行账户签约专用通知书》。仓单交易商根据该通知书及银行所需材料到交易所指定存管银行（详见附件）进行</w:t>
      </w:r>
      <w:r>
        <w:rPr>
          <w:rFonts w:ascii="方正仿宋简体" w:hAnsi="Times New Roman" w:eastAsia="方正仿宋简体" w:cs="Times New Roman"/>
          <w:sz w:val="28"/>
          <w:lang w:eastAsia="zh-CN"/>
        </w:rPr>
        <w:t>银行账户开通</w:t>
      </w:r>
      <w:r>
        <w:rPr>
          <w:rFonts w:hint="eastAsia" w:ascii="方正仿宋简体" w:hAnsi="Times New Roman" w:eastAsia="方正仿宋简体" w:cs="Times New Roman"/>
          <w:sz w:val="28"/>
          <w:lang w:eastAsia="zh-CN"/>
        </w:rPr>
        <w:t>，将银行账户和资金账号绑定。</w:t>
      </w:r>
    </w:p>
    <w:p>
      <w:pPr>
        <w:pStyle w:val="16"/>
        <w:numPr>
          <w:ilvl w:val="0"/>
          <w:numId w:val="1"/>
        </w:numPr>
        <w:autoSpaceDE/>
        <w:autoSpaceDN/>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纸质版开户材料复审通过后，由上海</w:t>
      </w:r>
      <w:r>
        <w:rPr>
          <w:rFonts w:ascii="方正仿宋简体" w:hAnsi="Times New Roman" w:eastAsia="方正仿宋简体" w:cs="Times New Roman"/>
          <w:sz w:val="28"/>
          <w:lang w:eastAsia="zh-CN"/>
        </w:rPr>
        <w:t>期货交易所</w:t>
      </w:r>
      <w:r>
        <w:rPr>
          <w:rFonts w:hint="eastAsia" w:ascii="方正仿宋简体" w:hAnsi="Times New Roman" w:eastAsia="方正仿宋简体" w:cs="Times New Roman"/>
          <w:sz w:val="28"/>
          <w:lang w:eastAsia="zh-CN"/>
        </w:rPr>
        <w:t>打印《同意开户回执》并签字盖章，将《上海期货交易所标准仓单交易业务仓单交易商协议》（</w:t>
      </w:r>
      <w:r>
        <w:rPr>
          <w:rFonts w:ascii="Times New Roman" w:hAnsi="Times New Roman" w:eastAsia="方正仿宋简体" w:cs="Times New Roman"/>
          <w:sz w:val="28"/>
          <w:lang w:eastAsia="zh-CN"/>
        </w:rPr>
        <w:t>1</w:t>
      </w:r>
      <w:r>
        <w:rPr>
          <w:rFonts w:hint="eastAsia" w:ascii="方正仿宋简体" w:hAnsi="Times New Roman" w:eastAsia="方正仿宋简体" w:cs="Times New Roman"/>
          <w:sz w:val="28"/>
          <w:lang w:eastAsia="zh-CN"/>
        </w:rPr>
        <w:t>份，加盖双方公章）、《同意开户回执》等</w:t>
      </w:r>
      <w:r>
        <w:rPr>
          <w:rFonts w:ascii="方正仿宋简体" w:hAnsi="Times New Roman" w:eastAsia="方正仿宋简体" w:cs="Times New Roman"/>
          <w:sz w:val="28"/>
          <w:lang w:eastAsia="zh-CN"/>
        </w:rPr>
        <w:t>材料</w:t>
      </w:r>
      <w:r>
        <w:rPr>
          <w:rFonts w:hint="eastAsia" w:ascii="方正仿宋简体" w:hAnsi="Times New Roman" w:eastAsia="方正仿宋简体" w:cs="Times New Roman"/>
          <w:sz w:val="28"/>
          <w:lang w:eastAsia="zh-CN"/>
        </w:rPr>
        <w:t>封装邮递给交易商。</w:t>
      </w:r>
    </w:p>
    <w:p>
      <w:pPr>
        <w:pStyle w:val="16"/>
        <w:numPr>
          <w:ilvl w:val="0"/>
          <w:numId w:val="1"/>
        </w:numPr>
        <w:autoSpaceDE/>
        <w:autoSpaceDN/>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上海期货交易所在收到《标准仓单交易业务存管银行账户签约专用通知书》回执后，激活该交易商的仓单交易系统账户和用户。交易商根据《同意开户回执》中的账号密码即可登录操作。</w:t>
      </w:r>
    </w:p>
    <w:p>
      <w:pPr>
        <w:pStyle w:val="16"/>
        <w:numPr>
          <w:ilvl w:val="0"/>
          <w:numId w:val="1"/>
        </w:numPr>
        <w:autoSpaceDE/>
        <w:autoSpaceDN/>
        <w:jc w:val="both"/>
        <w:rPr>
          <w:rFonts w:ascii="方正仿宋简体" w:hAnsi="Times New Roman" w:eastAsia="方正仿宋简体" w:cs="Times New Roman"/>
          <w:sz w:val="28"/>
          <w:lang w:eastAsia="zh-CN"/>
        </w:rPr>
      </w:pPr>
      <w:r>
        <w:rPr>
          <w:rFonts w:hint="eastAsia" w:ascii="方正仿宋简体" w:hAnsi="Times New Roman" w:eastAsia="方正仿宋简体" w:cs="Times New Roman"/>
          <w:sz w:val="28"/>
          <w:lang w:eastAsia="zh-CN"/>
        </w:rPr>
        <w:t>交易商</w:t>
      </w:r>
      <w:r>
        <w:rPr>
          <w:rFonts w:ascii="方正仿宋简体" w:hAnsi="Times New Roman" w:eastAsia="方正仿宋简体" w:cs="Times New Roman"/>
          <w:sz w:val="28"/>
          <w:lang w:eastAsia="zh-CN"/>
        </w:rPr>
        <w:t>如需增加品种权限，请填写官网</w:t>
      </w:r>
      <w:r>
        <w:rPr>
          <w:rFonts w:hint="eastAsia" w:ascii="方正仿宋简体" w:hAnsi="Times New Roman" w:eastAsia="方正仿宋简体" w:cs="Times New Roman"/>
          <w:sz w:val="28"/>
          <w:lang w:eastAsia="zh-CN"/>
        </w:rPr>
        <w:t>上其他业务材料</w:t>
      </w:r>
      <w:r>
        <w:rPr>
          <w:rFonts w:ascii="方正仿宋简体" w:hAnsi="Times New Roman" w:eastAsia="方正仿宋简体" w:cs="Times New Roman"/>
          <w:sz w:val="28"/>
          <w:lang w:eastAsia="zh-CN"/>
        </w:rPr>
        <w:t>中</w:t>
      </w:r>
      <w:r>
        <w:rPr>
          <w:rFonts w:hint="eastAsia" w:ascii="方正仿宋简体" w:hAnsi="Times New Roman" w:eastAsia="方正仿宋简体" w:cs="Times New Roman"/>
          <w:sz w:val="28"/>
          <w:lang w:eastAsia="zh-CN"/>
        </w:rPr>
        <w:t>《附件</w:t>
      </w:r>
      <w:r>
        <w:rPr>
          <w:rFonts w:ascii="方正仿宋简体" w:hAnsi="Times New Roman" w:eastAsia="方正仿宋简体" w:cs="Times New Roman"/>
          <w:sz w:val="28"/>
          <w:lang w:eastAsia="zh-CN"/>
        </w:rPr>
        <w:t>7 上期综合业务平台变更申请表（增加品种权限）</w:t>
      </w:r>
      <w:r>
        <w:rPr>
          <w:rFonts w:hint="eastAsia" w:ascii="方正仿宋简体" w:hAnsi="Times New Roman" w:eastAsia="方正仿宋简体" w:cs="Times New Roman"/>
          <w:sz w:val="28"/>
          <w:lang w:eastAsia="zh-CN"/>
        </w:rPr>
        <w:t>》，附上必备的证明材料（拟</w:t>
      </w:r>
      <w:r>
        <w:rPr>
          <w:rFonts w:ascii="方正仿宋简体" w:hAnsi="Times New Roman" w:eastAsia="方正仿宋简体" w:cs="Times New Roman"/>
          <w:sz w:val="28"/>
          <w:lang w:eastAsia="zh-CN"/>
        </w:rPr>
        <w:t>增加品种的</w:t>
      </w:r>
      <w:r>
        <w:rPr>
          <w:rFonts w:hint="eastAsia" w:ascii="方正仿宋简体" w:hAnsi="Times New Roman" w:eastAsia="方正仿宋简体" w:cs="Times New Roman"/>
          <w:sz w:val="28"/>
          <w:lang w:eastAsia="zh-CN"/>
        </w:rPr>
        <w:t>增值税</w:t>
      </w:r>
      <w:r>
        <w:rPr>
          <w:rFonts w:ascii="方正仿宋简体" w:hAnsi="Times New Roman" w:eastAsia="方正仿宋简体" w:cs="Times New Roman"/>
          <w:sz w:val="28"/>
          <w:lang w:eastAsia="zh-CN"/>
        </w:rPr>
        <w:t>销项发票</w:t>
      </w:r>
      <w:r>
        <w:rPr>
          <w:rFonts w:hint="eastAsia" w:ascii="方正仿宋简体" w:hAnsi="Times New Roman" w:eastAsia="方正仿宋简体" w:cs="Times New Roman"/>
          <w:sz w:val="28"/>
          <w:lang w:eastAsia="zh-CN"/>
        </w:rPr>
        <w:t>复印件</w:t>
      </w:r>
      <w:r>
        <w:rPr>
          <w:rFonts w:ascii="方正仿宋简体" w:hAnsi="Times New Roman" w:eastAsia="方正仿宋简体" w:cs="Times New Roman"/>
          <w:sz w:val="28"/>
          <w:lang w:eastAsia="zh-CN"/>
        </w:rPr>
        <w:t>等加盖公章</w:t>
      </w:r>
      <w:r>
        <w:rPr>
          <w:rFonts w:hint="eastAsia" w:ascii="方正仿宋简体" w:hAnsi="Times New Roman" w:eastAsia="方正仿宋简体" w:cs="Times New Roman"/>
          <w:sz w:val="28"/>
          <w:lang w:eastAsia="zh-CN"/>
        </w:rPr>
        <w:t>），邮寄到我所，在收到申请后，我所将进行</w:t>
      </w:r>
      <w:r>
        <w:rPr>
          <w:rFonts w:ascii="方正仿宋简体" w:hAnsi="Times New Roman" w:eastAsia="方正仿宋简体" w:cs="Times New Roman"/>
          <w:sz w:val="28"/>
          <w:lang w:eastAsia="zh-CN"/>
        </w:rPr>
        <w:t>审核</w:t>
      </w:r>
      <w:r>
        <w:rPr>
          <w:rFonts w:hint="eastAsia" w:ascii="方正仿宋简体" w:hAnsi="Times New Roman" w:eastAsia="方正仿宋简体" w:cs="Times New Roman"/>
          <w:sz w:val="28"/>
          <w:lang w:eastAsia="zh-CN"/>
        </w:rPr>
        <w:t>，</w:t>
      </w:r>
      <w:r>
        <w:rPr>
          <w:rFonts w:ascii="方正仿宋简体" w:hAnsi="Times New Roman" w:eastAsia="方正仿宋简体" w:cs="Times New Roman"/>
          <w:sz w:val="28"/>
          <w:lang w:eastAsia="zh-CN"/>
        </w:rPr>
        <w:t>审核通过后</w:t>
      </w:r>
      <w:r>
        <w:rPr>
          <w:rFonts w:hint="eastAsia" w:ascii="方正仿宋简体" w:hAnsi="Times New Roman" w:eastAsia="方正仿宋简体" w:cs="Times New Roman"/>
          <w:sz w:val="28"/>
          <w:lang w:eastAsia="zh-CN"/>
        </w:rPr>
        <w:t>增加</w:t>
      </w:r>
      <w:r>
        <w:rPr>
          <w:rFonts w:ascii="方正仿宋简体" w:hAnsi="Times New Roman" w:eastAsia="方正仿宋简体" w:cs="Times New Roman"/>
          <w:sz w:val="28"/>
          <w:lang w:eastAsia="zh-CN"/>
        </w:rPr>
        <w:t>相应权限</w:t>
      </w:r>
      <w:r>
        <w:rPr>
          <w:rFonts w:hint="eastAsia" w:ascii="方正仿宋简体" w:hAnsi="Times New Roman" w:eastAsia="方正仿宋简体" w:cs="Times New Roman"/>
          <w:sz w:val="28"/>
          <w:lang w:eastAsia="zh-CN"/>
        </w:rPr>
        <w:t>。</w:t>
      </w:r>
    </w:p>
    <w:p>
      <w:pPr>
        <w:pStyle w:val="16"/>
        <w:numPr>
          <w:ilvl w:val="0"/>
          <w:numId w:val="1"/>
        </w:numPr>
        <w:autoSpaceDE/>
        <w:autoSpaceDN/>
        <w:jc w:val="both"/>
        <w:rPr>
          <w:rFonts w:ascii="方正仿宋简体" w:hAnsi="Times New Roman" w:eastAsia="方正仿宋简体" w:cs="Times New Roman"/>
          <w:sz w:val="28"/>
          <w:lang w:eastAsia="zh-CN"/>
        </w:rPr>
      </w:pPr>
      <w:r>
        <w:rPr>
          <w:rFonts w:ascii="方正仿宋简体" w:hAnsi="Times New Roman" w:eastAsia="方正仿宋简体" w:cs="Times New Roman"/>
          <w:sz w:val="28"/>
          <w:lang w:eastAsia="zh-CN"/>
        </w:rPr>
        <w:t>交易商如有</w:t>
      </w:r>
      <w:r>
        <w:rPr>
          <w:rFonts w:hint="eastAsia" w:ascii="方正仿宋简体" w:hAnsi="Times New Roman" w:eastAsia="方正仿宋简体" w:cs="Times New Roman"/>
          <w:sz w:val="28"/>
          <w:lang w:eastAsia="zh-CN"/>
        </w:rPr>
        <w:t>基本</w:t>
      </w:r>
      <w:r>
        <w:rPr>
          <w:rFonts w:ascii="方正仿宋简体" w:hAnsi="Times New Roman" w:eastAsia="方正仿宋简体" w:cs="Times New Roman"/>
          <w:sz w:val="28"/>
          <w:lang w:eastAsia="zh-CN"/>
        </w:rPr>
        <w:t>信息变更，请填写官网上开户申请资料中的《</w:t>
      </w:r>
      <w:r>
        <w:rPr>
          <w:rFonts w:hint="eastAsia" w:ascii="方正仿宋简体" w:hAnsi="Times New Roman" w:eastAsia="方正仿宋简体" w:cs="Times New Roman"/>
          <w:sz w:val="28"/>
          <w:lang w:eastAsia="zh-CN"/>
        </w:rPr>
        <w:t>附件</w:t>
      </w:r>
      <w:r>
        <w:rPr>
          <w:rFonts w:ascii="方正仿宋简体" w:hAnsi="Times New Roman" w:eastAsia="方正仿宋简体" w:cs="Times New Roman"/>
          <w:sz w:val="28"/>
          <w:lang w:eastAsia="zh-CN"/>
        </w:rPr>
        <w:t>7 上期综合业务平台变更申请表（更改发票信息或联系人等基本信息）》，在变更事由中详细填写需要变更的信息，并附上必备的证明材料，邮寄到我所，在收到申请后，我所将对变更信息进行修改和备案。</w:t>
      </w:r>
    </w:p>
    <w:p>
      <w:pPr>
        <w:pStyle w:val="16"/>
        <w:numPr>
          <w:ilvl w:val="0"/>
          <w:numId w:val="1"/>
        </w:numPr>
        <w:autoSpaceDE/>
        <w:autoSpaceDN/>
        <w:jc w:val="both"/>
        <w:rPr>
          <w:rFonts w:ascii="方正仿宋简体" w:hAnsi="Times New Roman" w:eastAsia="方正仿宋简体" w:cs="Times New Roman"/>
          <w:sz w:val="28"/>
          <w:lang w:eastAsia="zh-CN"/>
        </w:rPr>
      </w:pPr>
      <w:r>
        <w:rPr>
          <w:rFonts w:ascii="方正仿宋简体" w:hAnsi="Times New Roman" w:eastAsia="方正仿宋简体" w:cs="Times New Roman"/>
          <w:sz w:val="28"/>
          <w:lang w:eastAsia="zh-CN"/>
        </w:rPr>
        <w:t>交易商如</w:t>
      </w:r>
      <w:r>
        <w:rPr>
          <w:rFonts w:hint="eastAsia" w:ascii="方正仿宋简体" w:hAnsi="Times New Roman" w:eastAsia="方正仿宋简体" w:cs="Times New Roman"/>
          <w:sz w:val="28"/>
          <w:lang w:eastAsia="zh-CN"/>
        </w:rPr>
        <w:t>需变更</w:t>
      </w:r>
      <w:r>
        <w:rPr>
          <w:rFonts w:ascii="方正仿宋简体" w:hAnsi="Times New Roman" w:eastAsia="方正仿宋简体" w:cs="Times New Roman"/>
          <w:sz w:val="28"/>
          <w:lang w:eastAsia="zh-CN"/>
        </w:rPr>
        <w:t>指定存管银行或银行账号，请填写官网上开户申请资料中的《</w:t>
      </w:r>
      <w:r>
        <w:rPr>
          <w:rFonts w:hint="eastAsia" w:ascii="方正仿宋简体" w:hAnsi="Times New Roman" w:eastAsia="方正仿宋简体" w:cs="Times New Roman"/>
          <w:sz w:val="28"/>
          <w:lang w:eastAsia="zh-CN"/>
        </w:rPr>
        <w:t>标准仓单交易业务存管银行账户签约专用通知书</w:t>
      </w:r>
      <w:r>
        <w:rPr>
          <w:rFonts w:ascii="方正仿宋简体" w:hAnsi="Times New Roman" w:eastAsia="方正仿宋简体" w:cs="Times New Roman"/>
          <w:sz w:val="28"/>
          <w:lang w:eastAsia="zh-CN"/>
        </w:rPr>
        <w:t>》，</w:t>
      </w:r>
      <w:r>
        <w:rPr>
          <w:rFonts w:hint="eastAsia" w:ascii="方正仿宋简体" w:hAnsi="Times New Roman" w:eastAsia="方正仿宋简体" w:cs="Times New Roman"/>
          <w:sz w:val="28"/>
          <w:lang w:eastAsia="zh-CN"/>
        </w:rPr>
        <w:t>将通知书</w:t>
      </w:r>
      <w:r>
        <w:rPr>
          <w:rFonts w:ascii="方正仿宋简体" w:hAnsi="Times New Roman" w:eastAsia="方正仿宋简体" w:cs="Times New Roman"/>
          <w:sz w:val="28"/>
          <w:lang w:eastAsia="zh-CN"/>
        </w:rPr>
        <w:t>交予银行，在收到</w:t>
      </w:r>
      <w:r>
        <w:rPr>
          <w:rFonts w:hint="eastAsia" w:ascii="方正仿宋简体" w:hAnsi="Times New Roman" w:eastAsia="方正仿宋简体" w:cs="Times New Roman"/>
          <w:sz w:val="28"/>
          <w:lang w:eastAsia="zh-CN"/>
        </w:rPr>
        <w:t>回执</w:t>
      </w:r>
      <w:r>
        <w:rPr>
          <w:rFonts w:ascii="方正仿宋简体" w:hAnsi="Times New Roman" w:eastAsia="方正仿宋简体" w:cs="Times New Roman"/>
          <w:sz w:val="28"/>
          <w:lang w:eastAsia="zh-CN"/>
        </w:rPr>
        <w:t>后，我所将对变更信息进行修改和备案。</w:t>
      </w:r>
    </w:p>
    <w:tbl>
      <w:tblPr>
        <w:tblStyle w:val="10"/>
        <w:tblpPr w:leftFromText="180" w:rightFromText="180" w:horzAnchor="margin" w:tblpXSpec="center" w:tblpY="-3810"/>
        <w:tblW w:w="8789" w:type="dxa"/>
        <w:tblInd w:w="0" w:type="dxa"/>
        <w:tblLayout w:type="fixed"/>
        <w:tblCellMar>
          <w:top w:w="0" w:type="dxa"/>
          <w:left w:w="108" w:type="dxa"/>
          <w:bottom w:w="0" w:type="dxa"/>
          <w:right w:w="108" w:type="dxa"/>
        </w:tblCellMar>
      </w:tblPr>
      <w:tblGrid>
        <w:gridCol w:w="8789"/>
      </w:tblGrid>
      <w:tr>
        <w:tblPrEx>
          <w:tblCellMar>
            <w:top w:w="0" w:type="dxa"/>
            <w:left w:w="108" w:type="dxa"/>
            <w:bottom w:w="0" w:type="dxa"/>
            <w:right w:w="108" w:type="dxa"/>
          </w:tblCellMar>
        </w:tblPrEx>
        <w:trPr>
          <w:trHeight w:val="1155" w:hRule="atLeast"/>
        </w:trPr>
        <w:tc>
          <w:tcPr>
            <w:tcW w:w="8789" w:type="dxa"/>
            <w:tcBorders>
              <w:top w:val="nil"/>
              <w:left w:val="nil"/>
              <w:bottom w:val="nil"/>
              <w:right w:val="nil"/>
            </w:tcBorders>
            <w:shd w:val="clear" w:color="auto" w:fill="auto"/>
            <w:noWrap/>
            <w:vAlign w:val="center"/>
          </w:tcPr>
          <w:p>
            <w:pPr>
              <w:widowControl/>
              <w:rPr>
                <w:rFonts w:ascii="仿宋" w:hAnsi="仿宋" w:eastAsia="仿宋"/>
                <w:b/>
                <w:bCs/>
                <w:color w:val="000000"/>
                <w:sz w:val="28"/>
                <w:szCs w:val="28"/>
                <w:lang w:eastAsia="zh-CN"/>
              </w:rPr>
            </w:pPr>
          </w:p>
        </w:tc>
      </w:tr>
    </w:tbl>
    <w:p>
      <w:pPr>
        <w:rPr>
          <w:lang w:eastAsia="zh-CN"/>
        </w:rPr>
      </w:pPr>
      <w:r>
        <w:rPr>
          <w:lang w:eastAsia="zh-CN"/>
        </w:rPr>
        <w:t xml:space="preserve">                        </w:t>
      </w: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tbl>
      <w:tblPr>
        <w:tblStyle w:val="10"/>
        <w:tblpPr w:leftFromText="180" w:rightFromText="180" w:vertAnchor="page" w:horzAnchor="margin" w:tblpXSpec="center" w:tblpY="541"/>
        <w:tblW w:w="11163" w:type="dxa"/>
        <w:tblInd w:w="0" w:type="dxa"/>
        <w:tblLayout w:type="fixed"/>
        <w:tblCellMar>
          <w:top w:w="0" w:type="dxa"/>
          <w:left w:w="108" w:type="dxa"/>
          <w:bottom w:w="0" w:type="dxa"/>
          <w:right w:w="108" w:type="dxa"/>
        </w:tblCellMar>
      </w:tblPr>
      <w:tblGrid>
        <w:gridCol w:w="736"/>
        <w:gridCol w:w="1532"/>
        <w:gridCol w:w="3402"/>
        <w:gridCol w:w="1101"/>
        <w:gridCol w:w="1701"/>
        <w:gridCol w:w="1557"/>
        <w:gridCol w:w="1134"/>
      </w:tblGrid>
      <w:tr>
        <w:tblPrEx>
          <w:tblCellMar>
            <w:top w:w="0" w:type="dxa"/>
            <w:left w:w="108" w:type="dxa"/>
            <w:bottom w:w="0" w:type="dxa"/>
            <w:right w:w="108" w:type="dxa"/>
          </w:tblCellMar>
        </w:tblPrEx>
        <w:trPr>
          <w:trHeight w:val="1155" w:hRule="atLeast"/>
        </w:trPr>
        <w:tc>
          <w:tcPr>
            <w:tcW w:w="11163" w:type="dxa"/>
            <w:gridSpan w:val="7"/>
            <w:tcBorders>
              <w:top w:val="nil"/>
              <w:left w:val="nil"/>
              <w:bottom w:val="nil"/>
            </w:tcBorders>
            <w:noWrap/>
            <w:vAlign w:val="center"/>
          </w:tcPr>
          <w:p>
            <w:pPr>
              <w:widowControl/>
              <w:jc w:val="center"/>
              <w:rPr>
                <w:rFonts w:hint="eastAsia" w:ascii="仿宋" w:hAnsi="仿宋" w:eastAsia="仿宋"/>
                <w:b/>
                <w:bCs/>
                <w:color w:val="000000"/>
                <w:sz w:val="32"/>
                <w:szCs w:val="32"/>
                <w:lang w:eastAsia="zh-CN"/>
              </w:rPr>
            </w:pPr>
          </w:p>
          <w:p>
            <w:pPr>
              <w:widowControl/>
              <w:jc w:val="center"/>
              <w:rPr>
                <w:rFonts w:hint="eastAsia" w:ascii="仿宋" w:hAnsi="仿宋" w:eastAsia="仿宋"/>
                <w:b/>
                <w:bCs/>
                <w:color w:val="000000"/>
                <w:sz w:val="32"/>
                <w:szCs w:val="32"/>
                <w:lang w:eastAsia="zh-CN"/>
              </w:rPr>
            </w:pPr>
          </w:p>
          <w:p>
            <w:pPr>
              <w:widowControl/>
              <w:jc w:val="center"/>
              <w:rPr>
                <w:rFonts w:hint="eastAsia" w:ascii="仿宋" w:hAnsi="仿宋" w:eastAsia="仿宋"/>
                <w:b/>
                <w:bCs/>
                <w:color w:val="000000"/>
                <w:sz w:val="32"/>
                <w:szCs w:val="32"/>
                <w:lang w:eastAsia="zh-CN"/>
              </w:rPr>
            </w:pPr>
          </w:p>
          <w:p>
            <w:pPr>
              <w:widowControl/>
              <w:jc w:val="center"/>
              <w:rPr>
                <w:rFonts w:hint="eastAsia" w:ascii="仿宋" w:hAnsi="仿宋" w:eastAsia="仿宋"/>
                <w:b/>
                <w:bCs/>
                <w:color w:val="000000"/>
                <w:sz w:val="32"/>
                <w:szCs w:val="32"/>
                <w:lang w:eastAsia="zh-CN"/>
              </w:rPr>
            </w:pPr>
            <w:r>
              <w:rPr>
                <w:rFonts w:hint="eastAsia" w:ascii="仿宋" w:hAnsi="仿宋" w:eastAsia="仿宋"/>
                <w:b/>
                <w:bCs/>
                <w:color w:val="000000"/>
                <w:sz w:val="32"/>
                <w:szCs w:val="32"/>
                <w:lang w:eastAsia="zh-CN"/>
              </w:rPr>
              <w:t>上期综合业务平台指定存管银行信息</w:t>
            </w:r>
          </w:p>
          <w:p>
            <w:pPr>
              <w:widowControl/>
              <w:jc w:val="center"/>
              <w:rPr>
                <w:rFonts w:hint="eastAsia" w:ascii="仿宋" w:hAnsi="仿宋" w:eastAsia="仿宋"/>
                <w:b/>
                <w:bCs/>
                <w:color w:val="000000"/>
                <w:sz w:val="32"/>
                <w:szCs w:val="32"/>
                <w:lang w:eastAsia="zh-CN"/>
              </w:rPr>
            </w:pPr>
            <w:bookmarkStart w:id="0" w:name="_GoBack"/>
            <w:bookmarkEnd w:id="0"/>
          </w:p>
        </w:tc>
      </w:tr>
      <w:tr>
        <w:tblPrEx>
          <w:tblCellMar>
            <w:top w:w="0" w:type="dxa"/>
            <w:left w:w="108" w:type="dxa"/>
            <w:bottom w:w="0" w:type="dxa"/>
            <w:right w:w="108" w:type="dxa"/>
          </w:tblCellMar>
        </w:tblPrEx>
        <w:trPr>
          <w:trHeight w:val="600" w:hRule="atLeast"/>
        </w:trPr>
        <w:tc>
          <w:tcPr>
            <w:tcW w:w="736" w:type="dxa"/>
            <w:vMerge w:val="restart"/>
            <w:tcBorders>
              <w:top w:val="single" w:color="auto" w:sz="12" w:space="0"/>
              <w:left w:val="single" w:color="auto" w:sz="12" w:space="0"/>
              <w:bottom w:val="single" w:color="000000" w:sz="12" w:space="0"/>
              <w:right w:val="single" w:color="auto" w:sz="4" w:space="0"/>
            </w:tcBorders>
            <w:noWrap/>
            <w:vAlign w:val="center"/>
          </w:tcPr>
          <w:p>
            <w:pPr>
              <w:widowControl/>
              <w:jc w:val="center"/>
              <w:rPr>
                <w:b/>
                <w:bCs/>
                <w:color w:val="000000"/>
              </w:rPr>
            </w:pPr>
            <w:r>
              <w:rPr>
                <w:rFonts w:hint="eastAsia"/>
                <w:b/>
                <w:bCs/>
                <w:color w:val="000000"/>
              </w:rPr>
              <w:t>银行名称</w:t>
            </w:r>
          </w:p>
        </w:tc>
        <w:tc>
          <w:tcPr>
            <w:tcW w:w="4934" w:type="dxa"/>
            <w:gridSpan w:val="2"/>
            <w:tcBorders>
              <w:top w:val="single" w:color="auto" w:sz="12" w:space="0"/>
              <w:left w:val="nil"/>
              <w:bottom w:val="single" w:color="auto" w:sz="4" w:space="0"/>
              <w:right w:val="single" w:color="auto" w:sz="4" w:space="0"/>
            </w:tcBorders>
            <w:noWrap/>
            <w:vAlign w:val="center"/>
          </w:tcPr>
          <w:p>
            <w:pPr>
              <w:widowControl/>
              <w:jc w:val="center"/>
              <w:rPr>
                <w:b/>
                <w:bCs/>
                <w:color w:val="000000"/>
              </w:rPr>
            </w:pPr>
            <w:r>
              <w:rPr>
                <w:rFonts w:hint="eastAsia"/>
                <w:b/>
                <w:bCs/>
                <w:color w:val="000000"/>
              </w:rPr>
              <w:t>办理网点</w:t>
            </w:r>
          </w:p>
        </w:tc>
        <w:tc>
          <w:tcPr>
            <w:tcW w:w="2802" w:type="dxa"/>
            <w:gridSpan w:val="2"/>
            <w:tcBorders>
              <w:top w:val="single" w:color="auto" w:sz="12" w:space="0"/>
              <w:left w:val="nil"/>
              <w:bottom w:val="single" w:color="auto" w:sz="4" w:space="0"/>
              <w:right w:val="single" w:color="000000" w:sz="12" w:space="0"/>
            </w:tcBorders>
            <w:noWrap/>
            <w:vAlign w:val="center"/>
          </w:tcPr>
          <w:p>
            <w:pPr>
              <w:widowControl/>
              <w:jc w:val="center"/>
              <w:rPr>
                <w:b/>
                <w:bCs/>
                <w:color w:val="000000"/>
              </w:rPr>
            </w:pPr>
            <w:r>
              <w:rPr>
                <w:rFonts w:hint="eastAsia"/>
                <w:b/>
                <w:bCs/>
                <w:color w:val="000000"/>
              </w:rPr>
              <w:t>业务咨询</w:t>
            </w:r>
          </w:p>
        </w:tc>
        <w:tc>
          <w:tcPr>
            <w:tcW w:w="1557" w:type="dxa"/>
            <w:vMerge w:val="restart"/>
            <w:tcBorders>
              <w:top w:val="single" w:color="auto" w:sz="12" w:space="0"/>
              <w:left w:val="nil"/>
              <w:right w:val="single" w:color="000000" w:sz="12" w:space="0"/>
            </w:tcBorders>
            <w:noWrap w:val="0"/>
            <w:vAlign w:val="center"/>
          </w:tcPr>
          <w:p>
            <w:pPr>
              <w:widowControl/>
              <w:jc w:val="center"/>
              <w:rPr>
                <w:rFonts w:hint="eastAsia"/>
                <w:b/>
                <w:bCs/>
                <w:color w:val="000000"/>
                <w:lang w:eastAsia="zh-CN"/>
              </w:rPr>
            </w:pPr>
            <w:r>
              <w:rPr>
                <w:rFonts w:hint="eastAsia"/>
                <w:b/>
                <w:bCs/>
                <w:color w:val="000000"/>
                <w:lang w:eastAsia="zh-CN"/>
              </w:rPr>
              <w:t>是否</w:t>
            </w:r>
            <w:r>
              <w:rPr>
                <w:b/>
                <w:bCs/>
                <w:color w:val="000000"/>
                <w:lang w:eastAsia="zh-CN"/>
              </w:rPr>
              <w:t>支持</w:t>
            </w:r>
            <w:r>
              <w:rPr>
                <w:rFonts w:hint="eastAsia"/>
                <w:b/>
                <w:bCs/>
                <w:color w:val="000000"/>
                <w:lang w:eastAsia="zh-CN"/>
              </w:rPr>
              <w:t>“</w:t>
            </w:r>
            <w:r>
              <w:rPr>
                <w:b/>
                <w:bCs/>
                <w:color w:val="000000"/>
                <w:lang w:eastAsia="zh-CN"/>
              </w:rPr>
              <w:t>一对多</w:t>
            </w:r>
            <w:r>
              <w:rPr>
                <w:rFonts w:hint="eastAsia"/>
                <w:b/>
                <w:bCs/>
                <w:color w:val="000000"/>
                <w:lang w:eastAsia="zh-CN"/>
              </w:rPr>
              <w:t>”</w:t>
            </w:r>
            <w:r>
              <w:rPr>
                <w:b/>
                <w:bCs/>
                <w:color w:val="000000"/>
                <w:lang w:eastAsia="zh-CN"/>
              </w:rPr>
              <w:t>签约</w:t>
            </w:r>
          </w:p>
        </w:tc>
        <w:tc>
          <w:tcPr>
            <w:tcW w:w="1134" w:type="dxa"/>
            <w:vMerge w:val="restart"/>
            <w:tcBorders>
              <w:top w:val="single" w:color="auto" w:sz="12" w:space="0"/>
              <w:left w:val="nil"/>
              <w:right w:val="single" w:color="000000" w:sz="12" w:space="0"/>
            </w:tcBorders>
            <w:noWrap w:val="0"/>
            <w:vAlign w:val="top"/>
          </w:tcPr>
          <w:p>
            <w:pPr>
              <w:widowControl/>
              <w:jc w:val="center"/>
              <w:rPr>
                <w:rFonts w:hint="eastAsia"/>
                <w:b/>
                <w:bCs/>
                <w:color w:val="000000"/>
                <w:lang w:eastAsia="zh-CN"/>
              </w:rPr>
            </w:pPr>
            <w:r>
              <w:rPr>
                <w:rFonts w:hint="eastAsia"/>
                <w:b/>
                <w:bCs/>
                <w:color w:val="000000"/>
                <w:lang w:eastAsia="zh-CN"/>
              </w:rPr>
              <w:t>是否</w:t>
            </w:r>
            <w:r>
              <w:rPr>
                <w:b/>
                <w:bCs/>
                <w:color w:val="000000"/>
                <w:lang w:eastAsia="zh-CN"/>
              </w:rPr>
              <w:t>支持全国网点开户、签约</w:t>
            </w:r>
          </w:p>
        </w:tc>
      </w:tr>
      <w:tr>
        <w:tblPrEx>
          <w:tblCellMar>
            <w:top w:w="0" w:type="dxa"/>
            <w:left w:w="108" w:type="dxa"/>
            <w:bottom w:w="0" w:type="dxa"/>
            <w:right w:w="108" w:type="dxa"/>
          </w:tblCellMar>
        </w:tblPrEx>
        <w:trPr>
          <w:trHeight w:val="600" w:hRule="atLeast"/>
        </w:trPr>
        <w:tc>
          <w:tcPr>
            <w:tcW w:w="736" w:type="dxa"/>
            <w:vMerge w:val="continue"/>
            <w:tcBorders>
              <w:top w:val="single" w:color="auto" w:sz="12" w:space="0"/>
              <w:left w:val="single" w:color="auto" w:sz="12" w:space="0"/>
              <w:bottom w:val="single" w:color="000000" w:sz="12" w:space="0"/>
              <w:right w:val="single" w:color="auto" w:sz="4" w:space="0"/>
            </w:tcBorders>
            <w:noWrap w:val="0"/>
            <w:vAlign w:val="center"/>
          </w:tcPr>
          <w:p>
            <w:pPr>
              <w:widowControl/>
              <w:rPr>
                <w:b/>
                <w:bCs/>
                <w:color w:val="000000"/>
                <w:lang w:eastAsia="zh-CN"/>
              </w:rPr>
            </w:pPr>
          </w:p>
        </w:tc>
        <w:tc>
          <w:tcPr>
            <w:tcW w:w="1532" w:type="dxa"/>
            <w:tcBorders>
              <w:top w:val="nil"/>
              <w:left w:val="nil"/>
              <w:bottom w:val="single" w:color="auto" w:sz="12" w:space="0"/>
              <w:right w:val="single" w:color="auto" w:sz="4" w:space="0"/>
            </w:tcBorders>
            <w:noWrap/>
            <w:vAlign w:val="center"/>
          </w:tcPr>
          <w:p>
            <w:pPr>
              <w:widowControl/>
              <w:jc w:val="center"/>
              <w:rPr>
                <w:b/>
                <w:bCs/>
                <w:color w:val="000000"/>
              </w:rPr>
            </w:pPr>
            <w:r>
              <w:rPr>
                <w:rFonts w:hint="eastAsia"/>
                <w:b/>
                <w:bCs/>
                <w:color w:val="000000"/>
              </w:rPr>
              <w:t>期交所支行</w:t>
            </w:r>
          </w:p>
        </w:tc>
        <w:tc>
          <w:tcPr>
            <w:tcW w:w="3402" w:type="dxa"/>
            <w:tcBorders>
              <w:top w:val="nil"/>
              <w:left w:val="nil"/>
              <w:bottom w:val="single" w:color="auto" w:sz="12" w:space="0"/>
              <w:right w:val="single" w:color="auto" w:sz="4" w:space="0"/>
            </w:tcBorders>
            <w:noWrap/>
            <w:vAlign w:val="center"/>
          </w:tcPr>
          <w:p>
            <w:pPr>
              <w:widowControl/>
              <w:jc w:val="center"/>
              <w:rPr>
                <w:b/>
                <w:bCs/>
                <w:color w:val="000000"/>
              </w:rPr>
            </w:pPr>
            <w:r>
              <w:rPr>
                <w:rFonts w:hint="eastAsia"/>
                <w:b/>
                <w:bCs/>
                <w:color w:val="000000"/>
              </w:rPr>
              <w:t>地点</w:t>
            </w:r>
          </w:p>
        </w:tc>
        <w:tc>
          <w:tcPr>
            <w:tcW w:w="1101" w:type="dxa"/>
            <w:tcBorders>
              <w:top w:val="nil"/>
              <w:left w:val="nil"/>
              <w:bottom w:val="single" w:color="auto" w:sz="12" w:space="0"/>
              <w:right w:val="single" w:color="auto" w:sz="4" w:space="0"/>
            </w:tcBorders>
            <w:noWrap/>
            <w:vAlign w:val="center"/>
          </w:tcPr>
          <w:p>
            <w:pPr>
              <w:widowControl/>
              <w:jc w:val="center"/>
              <w:rPr>
                <w:b/>
                <w:bCs/>
                <w:color w:val="000000"/>
              </w:rPr>
            </w:pPr>
            <w:r>
              <w:rPr>
                <w:rFonts w:hint="eastAsia"/>
                <w:b/>
                <w:bCs/>
                <w:color w:val="000000"/>
              </w:rPr>
              <w:t>联系人</w:t>
            </w:r>
          </w:p>
        </w:tc>
        <w:tc>
          <w:tcPr>
            <w:tcW w:w="1701" w:type="dxa"/>
            <w:tcBorders>
              <w:top w:val="nil"/>
              <w:left w:val="nil"/>
              <w:bottom w:val="single" w:color="auto" w:sz="12" w:space="0"/>
              <w:right w:val="single" w:color="auto" w:sz="12" w:space="0"/>
            </w:tcBorders>
            <w:noWrap/>
            <w:vAlign w:val="center"/>
          </w:tcPr>
          <w:p>
            <w:pPr>
              <w:widowControl/>
              <w:jc w:val="center"/>
              <w:rPr>
                <w:b/>
                <w:bCs/>
                <w:color w:val="000000"/>
              </w:rPr>
            </w:pPr>
            <w:r>
              <w:rPr>
                <w:rFonts w:hint="eastAsia"/>
                <w:b/>
                <w:bCs/>
                <w:color w:val="000000"/>
              </w:rPr>
              <w:t>联系电话</w:t>
            </w:r>
          </w:p>
        </w:tc>
        <w:tc>
          <w:tcPr>
            <w:tcW w:w="1557" w:type="dxa"/>
            <w:vMerge w:val="continue"/>
            <w:tcBorders>
              <w:left w:val="nil"/>
              <w:bottom w:val="single" w:color="auto" w:sz="12" w:space="0"/>
              <w:right w:val="single" w:color="000000" w:sz="12" w:space="0"/>
            </w:tcBorders>
            <w:noWrap w:val="0"/>
            <w:vAlign w:val="top"/>
          </w:tcPr>
          <w:p>
            <w:pPr>
              <w:widowControl/>
              <w:jc w:val="center"/>
              <w:rPr>
                <w:rFonts w:hint="eastAsia"/>
                <w:b/>
                <w:bCs/>
                <w:color w:val="000000"/>
              </w:rPr>
            </w:pPr>
          </w:p>
        </w:tc>
        <w:tc>
          <w:tcPr>
            <w:tcW w:w="1134" w:type="dxa"/>
            <w:vMerge w:val="continue"/>
            <w:tcBorders>
              <w:left w:val="nil"/>
              <w:bottom w:val="single" w:color="auto" w:sz="12" w:space="0"/>
              <w:right w:val="single" w:color="000000" w:sz="12" w:space="0"/>
            </w:tcBorders>
            <w:noWrap w:val="0"/>
            <w:vAlign w:val="top"/>
          </w:tcPr>
          <w:p>
            <w:pPr>
              <w:widowControl/>
              <w:jc w:val="center"/>
              <w:rPr>
                <w:rFonts w:hint="eastAsia"/>
                <w:b/>
                <w:bCs/>
                <w:color w:val="000000"/>
              </w:rPr>
            </w:pPr>
          </w:p>
        </w:tc>
      </w:tr>
      <w:tr>
        <w:tblPrEx>
          <w:tblCellMar>
            <w:top w:w="0" w:type="dxa"/>
            <w:left w:w="108" w:type="dxa"/>
            <w:bottom w:w="0" w:type="dxa"/>
            <w:right w:w="108" w:type="dxa"/>
          </w:tblCellMar>
        </w:tblPrEx>
        <w:trPr>
          <w:trHeight w:val="521" w:hRule="atLeast"/>
        </w:trPr>
        <w:tc>
          <w:tcPr>
            <w:tcW w:w="736" w:type="dxa"/>
            <w:vMerge w:val="restart"/>
            <w:tcBorders>
              <w:top w:val="nil"/>
              <w:left w:val="single" w:color="auto" w:sz="12" w:space="0"/>
              <w:bottom w:val="single" w:color="000000" w:sz="12" w:space="0"/>
              <w:right w:val="single" w:color="auto" w:sz="4" w:space="0"/>
            </w:tcBorders>
            <w:noWrap/>
            <w:vAlign w:val="center"/>
          </w:tcPr>
          <w:p>
            <w:pPr>
              <w:widowControl/>
              <w:jc w:val="center"/>
              <w:rPr>
                <w:color w:val="000000"/>
              </w:rPr>
            </w:pPr>
            <w:r>
              <w:rPr>
                <w:rFonts w:hint="eastAsia"/>
                <w:color w:val="000000"/>
              </w:rPr>
              <w:t>工商银行</w:t>
            </w:r>
          </w:p>
        </w:tc>
        <w:tc>
          <w:tcPr>
            <w:tcW w:w="4934" w:type="dxa"/>
            <w:gridSpan w:val="2"/>
            <w:tcBorders>
              <w:top w:val="single" w:color="auto" w:sz="12" w:space="0"/>
              <w:left w:val="nil"/>
              <w:bottom w:val="single" w:color="auto" w:sz="4" w:space="0"/>
              <w:right w:val="single" w:color="000000" w:sz="4" w:space="0"/>
            </w:tcBorders>
            <w:noWrap/>
            <w:vAlign w:val="center"/>
          </w:tcPr>
          <w:p>
            <w:pPr>
              <w:widowControl/>
              <w:jc w:val="center"/>
              <w:rPr>
                <w:color w:val="000000"/>
              </w:rPr>
            </w:pPr>
            <w:r>
              <w:rPr>
                <w:rFonts w:hint="eastAsia"/>
                <w:color w:val="000000"/>
              </w:rPr>
              <w:t>上海市所有对公网点</w:t>
            </w:r>
          </w:p>
        </w:tc>
        <w:tc>
          <w:tcPr>
            <w:tcW w:w="1101" w:type="dxa"/>
            <w:tcBorders>
              <w:top w:val="nil"/>
              <w:left w:val="nil"/>
              <w:bottom w:val="single" w:color="auto" w:sz="4" w:space="0"/>
              <w:right w:val="single" w:color="auto" w:sz="4" w:space="0"/>
            </w:tcBorders>
            <w:noWrap/>
            <w:vAlign w:val="center"/>
          </w:tcPr>
          <w:p>
            <w:pPr>
              <w:widowControl/>
              <w:jc w:val="center"/>
              <w:rPr>
                <w:color w:val="000000"/>
              </w:rPr>
            </w:pPr>
            <w:r>
              <w:rPr>
                <w:rFonts w:hint="eastAsia"/>
                <w:color w:val="000000"/>
              </w:rPr>
              <w:t>钟峥</w:t>
            </w:r>
          </w:p>
        </w:tc>
        <w:tc>
          <w:tcPr>
            <w:tcW w:w="1701" w:type="dxa"/>
            <w:tcBorders>
              <w:top w:val="nil"/>
              <w:left w:val="nil"/>
              <w:bottom w:val="single" w:color="auto" w:sz="4" w:space="0"/>
              <w:right w:val="single" w:color="auto" w:sz="12" w:space="0"/>
            </w:tcBorders>
            <w:noWrap/>
            <w:vAlign w:val="center"/>
          </w:tcPr>
          <w:p>
            <w:pPr>
              <w:widowControl/>
              <w:jc w:val="center"/>
              <w:rPr>
                <w:rFonts w:hint="default" w:eastAsia="宋体"/>
                <w:color w:val="000000"/>
                <w:lang w:val="en-US" w:eastAsia="zh-CN"/>
              </w:rPr>
            </w:pPr>
            <w:r>
              <w:rPr>
                <w:rFonts w:hint="eastAsia"/>
                <w:color w:val="000000"/>
              </w:rPr>
              <w:t>021-</w:t>
            </w:r>
            <w:r>
              <w:rPr>
                <w:rFonts w:hint="eastAsia"/>
                <w:color w:val="000000"/>
                <w:lang w:val="en-US" w:eastAsia="zh-CN"/>
              </w:rPr>
              <w:t>68088944</w:t>
            </w:r>
          </w:p>
        </w:tc>
        <w:tc>
          <w:tcPr>
            <w:tcW w:w="1557"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支持</w:t>
            </w:r>
          </w:p>
        </w:tc>
        <w:tc>
          <w:tcPr>
            <w:tcW w:w="1134"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r>
      <w:tr>
        <w:tblPrEx>
          <w:tblCellMar>
            <w:top w:w="0" w:type="dxa"/>
            <w:left w:w="108" w:type="dxa"/>
            <w:bottom w:w="0" w:type="dxa"/>
            <w:right w:w="108" w:type="dxa"/>
          </w:tblCellMar>
        </w:tblPrEx>
        <w:trPr>
          <w:trHeight w:val="473" w:hRule="atLeast"/>
        </w:trPr>
        <w:tc>
          <w:tcPr>
            <w:tcW w:w="736" w:type="dxa"/>
            <w:vMerge w:val="continue"/>
            <w:tcBorders>
              <w:top w:val="nil"/>
              <w:left w:val="single" w:color="auto" w:sz="12" w:space="0"/>
              <w:bottom w:val="single" w:color="000000" w:sz="12" w:space="0"/>
              <w:right w:val="single" w:color="auto" w:sz="4" w:space="0"/>
            </w:tcBorders>
            <w:noWrap w:val="0"/>
            <w:vAlign w:val="center"/>
          </w:tcPr>
          <w:p>
            <w:pPr>
              <w:widowControl/>
              <w:rPr>
                <w:color w:val="000000"/>
              </w:rPr>
            </w:pPr>
          </w:p>
        </w:tc>
        <w:tc>
          <w:tcPr>
            <w:tcW w:w="1532" w:type="dxa"/>
            <w:tcBorders>
              <w:top w:val="nil"/>
              <w:left w:val="nil"/>
              <w:bottom w:val="single" w:color="auto" w:sz="12" w:space="0"/>
              <w:right w:val="single" w:color="auto" w:sz="4" w:space="0"/>
            </w:tcBorders>
            <w:noWrap/>
            <w:vAlign w:val="center"/>
          </w:tcPr>
          <w:p>
            <w:pPr>
              <w:widowControl/>
              <w:jc w:val="center"/>
              <w:rPr>
                <w:color w:val="000000"/>
              </w:rPr>
            </w:pPr>
            <w:r>
              <w:rPr>
                <w:rFonts w:hint="eastAsia"/>
                <w:color w:val="000000"/>
              </w:rPr>
              <w:t>期货大厦支行</w:t>
            </w:r>
          </w:p>
        </w:tc>
        <w:tc>
          <w:tcPr>
            <w:tcW w:w="3402" w:type="dxa"/>
            <w:tcBorders>
              <w:top w:val="nil"/>
              <w:left w:val="nil"/>
              <w:bottom w:val="single" w:color="auto" w:sz="12" w:space="0"/>
              <w:right w:val="single" w:color="auto" w:sz="4" w:space="0"/>
            </w:tcBorders>
            <w:noWrap/>
            <w:vAlign w:val="center"/>
          </w:tcPr>
          <w:p>
            <w:pPr>
              <w:widowControl/>
              <w:jc w:val="center"/>
              <w:rPr>
                <w:color w:val="000000"/>
                <w:lang w:eastAsia="zh-CN"/>
              </w:rPr>
            </w:pPr>
            <w:r>
              <w:rPr>
                <w:rFonts w:hint="eastAsia"/>
                <w:color w:val="000000"/>
                <w:lang w:eastAsia="zh-CN"/>
              </w:rPr>
              <w:t>上海市浦东新区松林路300号1楼</w:t>
            </w:r>
          </w:p>
        </w:tc>
        <w:tc>
          <w:tcPr>
            <w:tcW w:w="1101" w:type="dxa"/>
            <w:tcBorders>
              <w:top w:val="nil"/>
              <w:left w:val="nil"/>
              <w:bottom w:val="single" w:color="auto" w:sz="12" w:space="0"/>
              <w:right w:val="single" w:color="auto" w:sz="4" w:space="0"/>
            </w:tcBorders>
            <w:noWrap/>
            <w:vAlign w:val="center"/>
          </w:tcPr>
          <w:p>
            <w:pPr>
              <w:widowControl/>
              <w:jc w:val="center"/>
              <w:rPr>
                <w:rFonts w:hint="default"/>
                <w:color w:val="000000"/>
                <w:lang w:val="en-US" w:eastAsia="zh-CN"/>
              </w:rPr>
            </w:pPr>
            <w:r>
              <w:rPr>
                <w:rFonts w:hint="eastAsia"/>
                <w:color w:val="000000"/>
                <w:lang w:val="en-US" w:eastAsia="zh-CN"/>
              </w:rPr>
              <w:t>林瑞韬</w:t>
            </w:r>
          </w:p>
        </w:tc>
        <w:tc>
          <w:tcPr>
            <w:tcW w:w="1701" w:type="dxa"/>
            <w:tcBorders>
              <w:top w:val="nil"/>
              <w:left w:val="nil"/>
              <w:bottom w:val="single" w:color="auto" w:sz="12" w:space="0"/>
              <w:right w:val="single" w:color="auto" w:sz="12" w:space="0"/>
            </w:tcBorders>
            <w:noWrap/>
            <w:vAlign w:val="center"/>
          </w:tcPr>
          <w:p>
            <w:pPr>
              <w:widowControl/>
              <w:jc w:val="center"/>
              <w:rPr>
                <w:rFonts w:hint="default"/>
                <w:color w:val="000000"/>
                <w:lang w:val="en-US" w:eastAsia="zh-CN"/>
              </w:rPr>
            </w:pPr>
            <w:r>
              <w:rPr>
                <w:rFonts w:hint="eastAsia"/>
                <w:color w:val="000000"/>
                <w:lang w:val="en-US" w:eastAsia="zh-CN"/>
              </w:rPr>
              <w:t>13611881058</w:t>
            </w:r>
          </w:p>
        </w:tc>
        <w:tc>
          <w:tcPr>
            <w:tcW w:w="1557" w:type="dxa"/>
            <w:vMerge w:val="continue"/>
            <w:tcBorders>
              <w:left w:val="nil"/>
              <w:bottom w:val="single" w:color="auto" w:sz="12" w:space="0"/>
              <w:right w:val="single" w:color="auto" w:sz="12" w:space="0"/>
            </w:tcBorders>
            <w:noWrap w:val="0"/>
            <w:vAlign w:val="center"/>
          </w:tcPr>
          <w:p>
            <w:pPr>
              <w:widowControl/>
              <w:jc w:val="center"/>
              <w:rPr>
                <w:rFonts w:hint="eastAsia"/>
                <w:color w:val="000000"/>
                <w:lang w:eastAsia="zh-CN"/>
              </w:rPr>
            </w:pPr>
          </w:p>
        </w:tc>
        <w:tc>
          <w:tcPr>
            <w:tcW w:w="1134" w:type="dxa"/>
            <w:vMerge w:val="continue"/>
            <w:tcBorders>
              <w:left w:val="nil"/>
              <w:bottom w:val="single" w:color="auto" w:sz="12" w:space="0"/>
              <w:right w:val="single" w:color="auto" w:sz="12" w:space="0"/>
            </w:tcBorders>
            <w:noWrap w:val="0"/>
            <w:vAlign w:val="center"/>
          </w:tcPr>
          <w:p>
            <w:pPr>
              <w:widowControl/>
              <w:jc w:val="center"/>
              <w:rPr>
                <w:rFonts w:hint="eastAsia"/>
                <w:color w:val="000000"/>
                <w:lang w:eastAsia="zh-CN"/>
              </w:rPr>
            </w:pPr>
          </w:p>
        </w:tc>
      </w:tr>
      <w:tr>
        <w:tblPrEx>
          <w:tblCellMar>
            <w:top w:w="0" w:type="dxa"/>
            <w:left w:w="108" w:type="dxa"/>
            <w:bottom w:w="0" w:type="dxa"/>
            <w:right w:w="108" w:type="dxa"/>
          </w:tblCellMar>
        </w:tblPrEx>
        <w:trPr>
          <w:trHeight w:val="465" w:hRule="atLeast"/>
        </w:trPr>
        <w:tc>
          <w:tcPr>
            <w:tcW w:w="736" w:type="dxa"/>
            <w:vMerge w:val="restart"/>
            <w:tcBorders>
              <w:top w:val="nil"/>
              <w:left w:val="single" w:color="auto" w:sz="12" w:space="0"/>
              <w:bottom w:val="single" w:color="000000" w:sz="12" w:space="0"/>
              <w:right w:val="single" w:color="auto" w:sz="4" w:space="0"/>
            </w:tcBorders>
            <w:noWrap/>
            <w:vAlign w:val="center"/>
          </w:tcPr>
          <w:p>
            <w:pPr>
              <w:widowControl/>
              <w:jc w:val="center"/>
              <w:rPr>
                <w:color w:val="000000"/>
              </w:rPr>
            </w:pPr>
            <w:r>
              <w:rPr>
                <w:rFonts w:hint="eastAsia"/>
                <w:color w:val="000000"/>
              </w:rPr>
              <w:t>农业银行</w:t>
            </w:r>
          </w:p>
        </w:tc>
        <w:tc>
          <w:tcPr>
            <w:tcW w:w="4934" w:type="dxa"/>
            <w:gridSpan w:val="2"/>
            <w:tcBorders>
              <w:top w:val="single" w:color="auto" w:sz="12" w:space="0"/>
              <w:left w:val="nil"/>
              <w:bottom w:val="single" w:color="auto" w:sz="4" w:space="0"/>
              <w:right w:val="single" w:color="000000" w:sz="4" w:space="0"/>
            </w:tcBorders>
            <w:noWrap/>
            <w:vAlign w:val="center"/>
          </w:tcPr>
          <w:p>
            <w:pPr>
              <w:widowControl/>
              <w:jc w:val="center"/>
              <w:rPr>
                <w:color w:val="000000"/>
              </w:rPr>
            </w:pPr>
            <w:r>
              <w:rPr>
                <w:rFonts w:hint="eastAsia"/>
                <w:color w:val="000000"/>
              </w:rPr>
              <w:t>上海市所有对公网点</w:t>
            </w:r>
          </w:p>
        </w:tc>
        <w:tc>
          <w:tcPr>
            <w:tcW w:w="1101" w:type="dxa"/>
            <w:tcBorders>
              <w:top w:val="nil"/>
              <w:left w:val="nil"/>
              <w:bottom w:val="single" w:color="auto" w:sz="4" w:space="0"/>
              <w:right w:val="single" w:color="auto" w:sz="4" w:space="0"/>
            </w:tcBorders>
            <w:noWrap/>
            <w:vAlign w:val="center"/>
          </w:tcPr>
          <w:p>
            <w:pPr>
              <w:widowControl/>
              <w:jc w:val="center"/>
              <w:rPr>
                <w:color w:val="000000"/>
              </w:rPr>
            </w:pPr>
            <w:r>
              <w:rPr>
                <w:rFonts w:hint="eastAsia"/>
                <w:color w:val="000000"/>
              </w:rPr>
              <w:t>吴永乐</w:t>
            </w:r>
          </w:p>
        </w:tc>
        <w:tc>
          <w:tcPr>
            <w:tcW w:w="1701" w:type="dxa"/>
            <w:tcBorders>
              <w:top w:val="nil"/>
              <w:left w:val="nil"/>
              <w:bottom w:val="single" w:color="auto" w:sz="4" w:space="0"/>
              <w:right w:val="single" w:color="auto" w:sz="12" w:space="0"/>
            </w:tcBorders>
            <w:noWrap/>
            <w:vAlign w:val="center"/>
          </w:tcPr>
          <w:p>
            <w:pPr>
              <w:widowControl/>
              <w:jc w:val="center"/>
              <w:rPr>
                <w:color w:val="000000"/>
              </w:rPr>
            </w:pPr>
            <w:r>
              <w:rPr>
                <w:rFonts w:hint="eastAsia"/>
                <w:color w:val="000000"/>
              </w:rPr>
              <w:t>021-20687943</w:t>
            </w:r>
          </w:p>
        </w:tc>
        <w:tc>
          <w:tcPr>
            <w:tcW w:w="1557"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支持</w:t>
            </w:r>
          </w:p>
        </w:tc>
        <w:tc>
          <w:tcPr>
            <w:tcW w:w="1134"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r>
      <w:tr>
        <w:tblPrEx>
          <w:tblCellMar>
            <w:top w:w="0" w:type="dxa"/>
            <w:left w:w="108" w:type="dxa"/>
            <w:bottom w:w="0" w:type="dxa"/>
            <w:right w:w="108" w:type="dxa"/>
          </w:tblCellMar>
        </w:tblPrEx>
        <w:trPr>
          <w:trHeight w:val="530" w:hRule="atLeast"/>
        </w:trPr>
        <w:tc>
          <w:tcPr>
            <w:tcW w:w="736" w:type="dxa"/>
            <w:vMerge w:val="continue"/>
            <w:tcBorders>
              <w:top w:val="nil"/>
              <w:left w:val="single" w:color="auto" w:sz="12" w:space="0"/>
              <w:bottom w:val="single" w:color="000000" w:sz="12" w:space="0"/>
              <w:right w:val="single" w:color="auto" w:sz="4" w:space="0"/>
            </w:tcBorders>
            <w:noWrap w:val="0"/>
            <w:vAlign w:val="center"/>
          </w:tcPr>
          <w:p>
            <w:pPr>
              <w:widowControl/>
              <w:rPr>
                <w:color w:val="000000"/>
              </w:rPr>
            </w:pPr>
          </w:p>
        </w:tc>
        <w:tc>
          <w:tcPr>
            <w:tcW w:w="1532" w:type="dxa"/>
            <w:tcBorders>
              <w:top w:val="nil"/>
              <w:left w:val="nil"/>
              <w:bottom w:val="single" w:color="auto" w:sz="12" w:space="0"/>
              <w:right w:val="single" w:color="auto" w:sz="4" w:space="0"/>
            </w:tcBorders>
            <w:noWrap/>
            <w:vAlign w:val="center"/>
          </w:tcPr>
          <w:p>
            <w:pPr>
              <w:widowControl/>
              <w:jc w:val="center"/>
              <w:rPr>
                <w:color w:val="000000"/>
              </w:rPr>
            </w:pPr>
            <w:r>
              <w:rPr>
                <w:rFonts w:hint="eastAsia"/>
                <w:color w:val="000000"/>
              </w:rPr>
              <w:t>期货大厦支行</w:t>
            </w:r>
          </w:p>
        </w:tc>
        <w:tc>
          <w:tcPr>
            <w:tcW w:w="3402" w:type="dxa"/>
            <w:tcBorders>
              <w:top w:val="nil"/>
              <w:left w:val="nil"/>
              <w:bottom w:val="single" w:color="auto" w:sz="12" w:space="0"/>
              <w:right w:val="single" w:color="auto" w:sz="4" w:space="0"/>
            </w:tcBorders>
            <w:noWrap/>
            <w:vAlign w:val="center"/>
          </w:tcPr>
          <w:p>
            <w:pPr>
              <w:widowControl/>
              <w:jc w:val="center"/>
              <w:rPr>
                <w:color w:val="000000"/>
                <w:lang w:eastAsia="zh-CN"/>
              </w:rPr>
            </w:pPr>
            <w:r>
              <w:rPr>
                <w:rFonts w:hint="eastAsia"/>
                <w:color w:val="000000"/>
                <w:lang w:eastAsia="zh-CN"/>
              </w:rPr>
              <w:t>上海市浦东新区松林路300号1楼</w:t>
            </w:r>
          </w:p>
        </w:tc>
        <w:tc>
          <w:tcPr>
            <w:tcW w:w="1101" w:type="dxa"/>
            <w:tcBorders>
              <w:top w:val="nil"/>
              <w:left w:val="nil"/>
              <w:bottom w:val="single" w:color="auto" w:sz="12" w:space="0"/>
              <w:right w:val="single" w:color="auto" w:sz="4" w:space="0"/>
            </w:tcBorders>
            <w:noWrap/>
            <w:vAlign w:val="center"/>
          </w:tcPr>
          <w:p>
            <w:pPr>
              <w:widowControl/>
              <w:jc w:val="center"/>
              <w:rPr>
                <w:color w:val="000000"/>
              </w:rPr>
            </w:pPr>
            <w:r>
              <w:rPr>
                <w:rFonts w:hint="eastAsia"/>
                <w:color w:val="000000"/>
              </w:rPr>
              <w:t>叶利君</w:t>
            </w:r>
          </w:p>
        </w:tc>
        <w:tc>
          <w:tcPr>
            <w:tcW w:w="1701" w:type="dxa"/>
            <w:tcBorders>
              <w:top w:val="nil"/>
              <w:left w:val="nil"/>
              <w:bottom w:val="single" w:color="auto" w:sz="12" w:space="0"/>
              <w:right w:val="single" w:color="auto" w:sz="12" w:space="0"/>
            </w:tcBorders>
            <w:noWrap/>
            <w:vAlign w:val="center"/>
          </w:tcPr>
          <w:p>
            <w:pPr>
              <w:widowControl/>
              <w:jc w:val="center"/>
              <w:rPr>
                <w:color w:val="000000"/>
              </w:rPr>
            </w:pPr>
            <w:r>
              <w:rPr>
                <w:rFonts w:hint="eastAsia"/>
                <w:color w:val="000000"/>
              </w:rPr>
              <w:t>021-20735609</w:t>
            </w:r>
          </w:p>
        </w:tc>
        <w:tc>
          <w:tcPr>
            <w:tcW w:w="1557" w:type="dxa"/>
            <w:vMerge w:val="continue"/>
            <w:tcBorders>
              <w:left w:val="nil"/>
              <w:bottom w:val="single" w:color="auto" w:sz="12" w:space="0"/>
              <w:right w:val="single" w:color="auto" w:sz="12" w:space="0"/>
            </w:tcBorders>
            <w:noWrap w:val="0"/>
            <w:vAlign w:val="top"/>
          </w:tcPr>
          <w:p>
            <w:pPr>
              <w:widowControl/>
              <w:jc w:val="center"/>
              <w:rPr>
                <w:rFonts w:hint="eastAsia"/>
                <w:color w:val="000000"/>
              </w:rPr>
            </w:pPr>
          </w:p>
        </w:tc>
        <w:tc>
          <w:tcPr>
            <w:tcW w:w="1134" w:type="dxa"/>
            <w:vMerge w:val="continue"/>
            <w:tcBorders>
              <w:left w:val="nil"/>
              <w:bottom w:val="single" w:color="auto" w:sz="12" w:space="0"/>
              <w:right w:val="single" w:color="auto" w:sz="12" w:space="0"/>
            </w:tcBorders>
            <w:noWrap w:val="0"/>
            <w:vAlign w:val="center"/>
          </w:tcPr>
          <w:p>
            <w:pPr>
              <w:widowControl/>
              <w:jc w:val="center"/>
              <w:rPr>
                <w:rFonts w:hint="eastAsia"/>
                <w:color w:val="000000"/>
              </w:rPr>
            </w:pPr>
          </w:p>
        </w:tc>
      </w:tr>
      <w:tr>
        <w:tblPrEx>
          <w:tblCellMar>
            <w:top w:w="0" w:type="dxa"/>
            <w:left w:w="108" w:type="dxa"/>
            <w:bottom w:w="0" w:type="dxa"/>
            <w:right w:w="108" w:type="dxa"/>
          </w:tblCellMar>
        </w:tblPrEx>
        <w:trPr>
          <w:trHeight w:val="551" w:hRule="atLeast"/>
        </w:trPr>
        <w:tc>
          <w:tcPr>
            <w:tcW w:w="736" w:type="dxa"/>
            <w:vMerge w:val="restart"/>
            <w:tcBorders>
              <w:top w:val="nil"/>
              <w:left w:val="single" w:color="auto" w:sz="12" w:space="0"/>
              <w:bottom w:val="single" w:color="000000" w:sz="12" w:space="0"/>
              <w:right w:val="single" w:color="auto" w:sz="4" w:space="0"/>
            </w:tcBorders>
            <w:noWrap/>
            <w:vAlign w:val="center"/>
          </w:tcPr>
          <w:p>
            <w:pPr>
              <w:widowControl/>
              <w:jc w:val="center"/>
              <w:rPr>
                <w:color w:val="000000"/>
              </w:rPr>
            </w:pPr>
            <w:r>
              <w:rPr>
                <w:rFonts w:hint="eastAsia"/>
                <w:color w:val="000000"/>
              </w:rPr>
              <w:t>交通银行</w:t>
            </w:r>
          </w:p>
        </w:tc>
        <w:tc>
          <w:tcPr>
            <w:tcW w:w="4934" w:type="dxa"/>
            <w:gridSpan w:val="2"/>
            <w:tcBorders>
              <w:top w:val="single" w:color="auto" w:sz="12" w:space="0"/>
              <w:left w:val="nil"/>
              <w:bottom w:val="single" w:color="auto" w:sz="4" w:space="0"/>
              <w:right w:val="single" w:color="000000" w:sz="4" w:space="0"/>
            </w:tcBorders>
            <w:noWrap/>
            <w:vAlign w:val="center"/>
          </w:tcPr>
          <w:p>
            <w:pPr>
              <w:widowControl/>
              <w:jc w:val="center"/>
              <w:rPr>
                <w:color w:val="000000"/>
              </w:rPr>
            </w:pPr>
            <w:r>
              <w:rPr>
                <w:rFonts w:hint="eastAsia"/>
                <w:color w:val="000000"/>
              </w:rPr>
              <w:t>上海市所有对公网点</w:t>
            </w:r>
          </w:p>
        </w:tc>
        <w:tc>
          <w:tcPr>
            <w:tcW w:w="1101" w:type="dxa"/>
            <w:tcBorders>
              <w:top w:val="nil"/>
              <w:left w:val="nil"/>
              <w:bottom w:val="single" w:color="auto" w:sz="4" w:space="0"/>
              <w:right w:val="single" w:color="auto" w:sz="4" w:space="0"/>
            </w:tcBorders>
            <w:noWrap/>
            <w:vAlign w:val="center"/>
          </w:tcPr>
          <w:p>
            <w:pPr>
              <w:widowControl/>
              <w:jc w:val="center"/>
              <w:rPr>
                <w:color w:val="000000"/>
              </w:rPr>
            </w:pPr>
            <w:r>
              <w:rPr>
                <w:rFonts w:hint="eastAsia"/>
                <w:color w:val="000000"/>
              </w:rPr>
              <w:t>贺奕菁</w:t>
            </w:r>
          </w:p>
        </w:tc>
        <w:tc>
          <w:tcPr>
            <w:tcW w:w="1701" w:type="dxa"/>
            <w:tcBorders>
              <w:top w:val="nil"/>
              <w:left w:val="nil"/>
              <w:bottom w:val="single" w:color="auto" w:sz="4" w:space="0"/>
              <w:right w:val="single" w:color="auto" w:sz="12" w:space="0"/>
            </w:tcBorders>
            <w:noWrap/>
            <w:vAlign w:val="center"/>
          </w:tcPr>
          <w:p>
            <w:pPr>
              <w:widowControl/>
              <w:jc w:val="center"/>
              <w:rPr>
                <w:color w:val="000000"/>
              </w:rPr>
            </w:pPr>
            <w:r>
              <w:rPr>
                <w:rFonts w:hint="eastAsia"/>
                <w:color w:val="000000"/>
              </w:rPr>
              <w:t>021-33205824</w:t>
            </w:r>
          </w:p>
        </w:tc>
        <w:tc>
          <w:tcPr>
            <w:tcW w:w="1557"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支持</w:t>
            </w:r>
          </w:p>
        </w:tc>
        <w:tc>
          <w:tcPr>
            <w:tcW w:w="1134"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支持</w:t>
            </w:r>
          </w:p>
        </w:tc>
      </w:tr>
      <w:tr>
        <w:tblPrEx>
          <w:tblCellMar>
            <w:top w:w="0" w:type="dxa"/>
            <w:left w:w="108" w:type="dxa"/>
            <w:bottom w:w="0" w:type="dxa"/>
            <w:right w:w="108" w:type="dxa"/>
          </w:tblCellMar>
        </w:tblPrEx>
        <w:trPr>
          <w:trHeight w:val="532" w:hRule="atLeast"/>
        </w:trPr>
        <w:tc>
          <w:tcPr>
            <w:tcW w:w="736" w:type="dxa"/>
            <w:vMerge w:val="continue"/>
            <w:tcBorders>
              <w:top w:val="nil"/>
              <w:left w:val="single" w:color="auto" w:sz="12" w:space="0"/>
              <w:bottom w:val="single" w:color="000000" w:sz="12" w:space="0"/>
              <w:right w:val="single" w:color="auto" w:sz="4" w:space="0"/>
            </w:tcBorders>
            <w:noWrap w:val="0"/>
            <w:vAlign w:val="center"/>
          </w:tcPr>
          <w:p>
            <w:pPr>
              <w:widowControl/>
              <w:rPr>
                <w:color w:val="000000"/>
              </w:rPr>
            </w:pPr>
          </w:p>
        </w:tc>
        <w:tc>
          <w:tcPr>
            <w:tcW w:w="1532" w:type="dxa"/>
            <w:tcBorders>
              <w:top w:val="nil"/>
              <w:left w:val="nil"/>
              <w:bottom w:val="single" w:color="auto" w:sz="12" w:space="0"/>
              <w:right w:val="single" w:color="auto" w:sz="4" w:space="0"/>
            </w:tcBorders>
            <w:noWrap/>
            <w:vAlign w:val="center"/>
          </w:tcPr>
          <w:p>
            <w:pPr>
              <w:widowControl/>
              <w:jc w:val="center"/>
              <w:rPr>
                <w:color w:val="000000"/>
              </w:rPr>
            </w:pPr>
            <w:r>
              <w:rPr>
                <w:rFonts w:hint="eastAsia"/>
                <w:color w:val="000000"/>
              </w:rPr>
              <w:t>期货大厦支行</w:t>
            </w:r>
          </w:p>
        </w:tc>
        <w:tc>
          <w:tcPr>
            <w:tcW w:w="3402" w:type="dxa"/>
            <w:tcBorders>
              <w:top w:val="nil"/>
              <w:left w:val="nil"/>
              <w:bottom w:val="single" w:color="auto" w:sz="12" w:space="0"/>
              <w:right w:val="single" w:color="auto" w:sz="4" w:space="0"/>
            </w:tcBorders>
            <w:noWrap/>
            <w:vAlign w:val="center"/>
          </w:tcPr>
          <w:p>
            <w:pPr>
              <w:widowControl/>
              <w:jc w:val="center"/>
              <w:rPr>
                <w:color w:val="000000"/>
                <w:lang w:eastAsia="zh-CN"/>
              </w:rPr>
            </w:pPr>
            <w:r>
              <w:rPr>
                <w:rFonts w:hint="eastAsia"/>
                <w:color w:val="000000"/>
                <w:lang w:eastAsia="zh-CN"/>
              </w:rPr>
              <w:t>上海市浦东新区松林路300号1楼</w:t>
            </w:r>
          </w:p>
        </w:tc>
        <w:tc>
          <w:tcPr>
            <w:tcW w:w="1101" w:type="dxa"/>
            <w:tcBorders>
              <w:top w:val="nil"/>
              <w:left w:val="nil"/>
              <w:bottom w:val="single" w:color="auto" w:sz="12" w:space="0"/>
              <w:right w:val="single" w:color="auto" w:sz="4" w:space="0"/>
            </w:tcBorders>
            <w:noWrap/>
            <w:vAlign w:val="center"/>
          </w:tcPr>
          <w:p>
            <w:pPr>
              <w:widowControl/>
              <w:jc w:val="center"/>
              <w:rPr>
                <w:color w:val="000000"/>
                <w:lang w:eastAsia="zh-CN"/>
              </w:rPr>
            </w:pPr>
            <w:r>
              <w:rPr>
                <w:rFonts w:hint="eastAsia"/>
                <w:color w:val="000000"/>
                <w:lang w:eastAsia="zh-CN"/>
              </w:rPr>
              <w:t>张昊</w:t>
            </w:r>
          </w:p>
        </w:tc>
        <w:tc>
          <w:tcPr>
            <w:tcW w:w="1701" w:type="dxa"/>
            <w:tcBorders>
              <w:top w:val="nil"/>
              <w:left w:val="nil"/>
              <w:bottom w:val="single" w:color="auto" w:sz="12" w:space="0"/>
              <w:right w:val="single" w:color="auto" w:sz="12" w:space="0"/>
            </w:tcBorders>
            <w:noWrap/>
            <w:vAlign w:val="center"/>
          </w:tcPr>
          <w:p>
            <w:pPr>
              <w:widowControl/>
              <w:jc w:val="center"/>
              <w:rPr>
                <w:color w:val="000000"/>
              </w:rPr>
            </w:pPr>
            <w:r>
              <w:rPr>
                <w:rFonts w:hint="eastAsia"/>
                <w:color w:val="000000"/>
              </w:rPr>
              <w:t>021-68401027</w:t>
            </w:r>
          </w:p>
        </w:tc>
        <w:tc>
          <w:tcPr>
            <w:tcW w:w="1557" w:type="dxa"/>
            <w:vMerge w:val="continue"/>
            <w:tcBorders>
              <w:left w:val="nil"/>
              <w:bottom w:val="single" w:color="auto" w:sz="12" w:space="0"/>
              <w:right w:val="single" w:color="auto" w:sz="12" w:space="0"/>
            </w:tcBorders>
            <w:noWrap w:val="0"/>
            <w:vAlign w:val="top"/>
          </w:tcPr>
          <w:p>
            <w:pPr>
              <w:widowControl/>
              <w:jc w:val="center"/>
              <w:rPr>
                <w:rFonts w:hint="eastAsia"/>
                <w:color w:val="000000"/>
              </w:rPr>
            </w:pPr>
          </w:p>
        </w:tc>
        <w:tc>
          <w:tcPr>
            <w:tcW w:w="1134" w:type="dxa"/>
            <w:vMerge w:val="continue"/>
            <w:tcBorders>
              <w:left w:val="nil"/>
              <w:bottom w:val="single" w:color="auto" w:sz="12" w:space="0"/>
              <w:right w:val="single" w:color="auto" w:sz="12" w:space="0"/>
            </w:tcBorders>
            <w:noWrap w:val="0"/>
            <w:vAlign w:val="center"/>
          </w:tcPr>
          <w:p>
            <w:pPr>
              <w:widowControl/>
              <w:jc w:val="center"/>
              <w:rPr>
                <w:rFonts w:hint="eastAsia"/>
                <w:color w:val="000000"/>
              </w:rPr>
            </w:pPr>
          </w:p>
        </w:tc>
      </w:tr>
      <w:tr>
        <w:tblPrEx>
          <w:tblCellMar>
            <w:top w:w="0" w:type="dxa"/>
            <w:left w:w="108" w:type="dxa"/>
            <w:bottom w:w="0" w:type="dxa"/>
            <w:right w:w="108" w:type="dxa"/>
          </w:tblCellMar>
        </w:tblPrEx>
        <w:trPr>
          <w:trHeight w:val="539" w:hRule="atLeast"/>
        </w:trPr>
        <w:tc>
          <w:tcPr>
            <w:tcW w:w="736" w:type="dxa"/>
            <w:vMerge w:val="restart"/>
            <w:tcBorders>
              <w:top w:val="nil"/>
              <w:left w:val="single" w:color="auto" w:sz="12" w:space="0"/>
              <w:bottom w:val="single" w:color="000000" w:sz="12" w:space="0"/>
              <w:right w:val="single" w:color="auto" w:sz="4" w:space="0"/>
            </w:tcBorders>
            <w:noWrap/>
            <w:vAlign w:val="center"/>
          </w:tcPr>
          <w:p>
            <w:pPr>
              <w:widowControl/>
              <w:jc w:val="center"/>
              <w:rPr>
                <w:color w:val="000000"/>
              </w:rPr>
            </w:pPr>
            <w:r>
              <w:rPr>
                <w:rFonts w:hint="eastAsia"/>
                <w:color w:val="000000"/>
              </w:rPr>
              <w:t>建设银行</w:t>
            </w:r>
          </w:p>
        </w:tc>
        <w:tc>
          <w:tcPr>
            <w:tcW w:w="4934" w:type="dxa"/>
            <w:gridSpan w:val="2"/>
            <w:tcBorders>
              <w:top w:val="single" w:color="auto" w:sz="12" w:space="0"/>
              <w:left w:val="nil"/>
              <w:bottom w:val="single" w:color="auto" w:sz="4" w:space="0"/>
              <w:right w:val="single" w:color="000000" w:sz="4" w:space="0"/>
            </w:tcBorders>
            <w:noWrap/>
            <w:vAlign w:val="center"/>
          </w:tcPr>
          <w:p>
            <w:pPr>
              <w:widowControl/>
              <w:jc w:val="center"/>
              <w:rPr>
                <w:color w:val="000000"/>
              </w:rPr>
            </w:pPr>
            <w:r>
              <w:rPr>
                <w:rFonts w:hint="eastAsia"/>
                <w:color w:val="000000"/>
              </w:rPr>
              <w:t>上海市所有对公网点</w:t>
            </w:r>
          </w:p>
        </w:tc>
        <w:tc>
          <w:tcPr>
            <w:tcW w:w="1101" w:type="dxa"/>
            <w:tcBorders>
              <w:top w:val="nil"/>
              <w:left w:val="nil"/>
              <w:bottom w:val="nil"/>
              <w:right w:val="single" w:color="auto" w:sz="4" w:space="0"/>
            </w:tcBorders>
            <w:noWrap/>
            <w:vAlign w:val="center"/>
          </w:tcPr>
          <w:p>
            <w:pPr>
              <w:widowControl/>
              <w:jc w:val="center"/>
              <w:rPr>
                <w:color w:val="000000"/>
              </w:rPr>
            </w:pPr>
            <w:r>
              <w:rPr>
                <w:rFonts w:hint="eastAsia"/>
                <w:color w:val="000000"/>
              </w:rPr>
              <w:t>高凌</w:t>
            </w:r>
          </w:p>
        </w:tc>
        <w:tc>
          <w:tcPr>
            <w:tcW w:w="1701" w:type="dxa"/>
            <w:tcBorders>
              <w:top w:val="nil"/>
              <w:left w:val="nil"/>
              <w:bottom w:val="nil"/>
              <w:right w:val="single" w:color="auto" w:sz="12" w:space="0"/>
            </w:tcBorders>
            <w:noWrap/>
            <w:vAlign w:val="center"/>
          </w:tcPr>
          <w:p>
            <w:pPr>
              <w:widowControl/>
              <w:jc w:val="center"/>
              <w:rPr>
                <w:color w:val="000000"/>
              </w:rPr>
            </w:pPr>
            <w:r>
              <w:rPr>
                <w:rFonts w:hint="eastAsia"/>
                <w:color w:val="000000"/>
              </w:rPr>
              <w:t>18818000027</w:t>
            </w:r>
          </w:p>
        </w:tc>
        <w:tc>
          <w:tcPr>
            <w:tcW w:w="1557"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支持</w:t>
            </w:r>
          </w:p>
        </w:tc>
        <w:tc>
          <w:tcPr>
            <w:tcW w:w="1134"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r>
      <w:tr>
        <w:tblPrEx>
          <w:tblCellMar>
            <w:top w:w="0" w:type="dxa"/>
            <w:left w:w="108" w:type="dxa"/>
            <w:bottom w:w="0" w:type="dxa"/>
            <w:right w:w="108" w:type="dxa"/>
          </w:tblCellMar>
        </w:tblPrEx>
        <w:trPr>
          <w:trHeight w:val="528" w:hRule="atLeast"/>
        </w:trPr>
        <w:tc>
          <w:tcPr>
            <w:tcW w:w="736" w:type="dxa"/>
            <w:vMerge w:val="continue"/>
            <w:tcBorders>
              <w:top w:val="nil"/>
              <w:left w:val="single" w:color="auto" w:sz="12" w:space="0"/>
              <w:bottom w:val="single" w:color="000000" w:sz="12" w:space="0"/>
              <w:right w:val="single" w:color="auto" w:sz="4" w:space="0"/>
            </w:tcBorders>
            <w:noWrap w:val="0"/>
            <w:vAlign w:val="center"/>
          </w:tcPr>
          <w:p>
            <w:pPr>
              <w:widowControl/>
              <w:rPr>
                <w:color w:val="000000"/>
              </w:rPr>
            </w:pPr>
          </w:p>
        </w:tc>
        <w:tc>
          <w:tcPr>
            <w:tcW w:w="1532" w:type="dxa"/>
            <w:tcBorders>
              <w:top w:val="nil"/>
              <w:left w:val="single" w:color="auto" w:sz="4" w:space="0"/>
              <w:bottom w:val="single" w:color="000000" w:sz="12" w:space="0"/>
              <w:right w:val="single" w:color="auto" w:sz="4" w:space="0"/>
            </w:tcBorders>
            <w:noWrap w:val="0"/>
            <w:vAlign w:val="center"/>
          </w:tcPr>
          <w:p>
            <w:pPr>
              <w:jc w:val="center"/>
            </w:pPr>
            <w:r>
              <w:rPr>
                <w:rFonts w:hint="eastAsia"/>
              </w:rPr>
              <w:t>上海期货支行</w:t>
            </w:r>
          </w:p>
        </w:tc>
        <w:tc>
          <w:tcPr>
            <w:tcW w:w="3402" w:type="dxa"/>
            <w:tcBorders>
              <w:top w:val="nil"/>
              <w:left w:val="single" w:color="auto" w:sz="4" w:space="0"/>
              <w:bottom w:val="single" w:color="000000" w:sz="12" w:space="0"/>
              <w:right w:val="single" w:color="auto" w:sz="4" w:space="0"/>
            </w:tcBorders>
            <w:noWrap w:val="0"/>
            <w:vAlign w:val="center"/>
          </w:tcPr>
          <w:p>
            <w:pPr>
              <w:rPr>
                <w:lang w:eastAsia="zh-CN"/>
              </w:rPr>
            </w:pPr>
            <w:r>
              <w:rPr>
                <w:lang w:eastAsia="zh-CN"/>
              </w:rPr>
              <w:t>上海市浦东新区松林路300号1楼</w:t>
            </w:r>
          </w:p>
        </w:tc>
        <w:tc>
          <w:tcPr>
            <w:tcW w:w="1101" w:type="dxa"/>
            <w:tcBorders>
              <w:top w:val="single" w:color="auto" w:sz="4" w:space="0"/>
              <w:left w:val="nil"/>
              <w:bottom w:val="single" w:color="auto" w:sz="12" w:space="0"/>
              <w:right w:val="single" w:color="auto" w:sz="4" w:space="0"/>
            </w:tcBorders>
            <w:noWrap/>
            <w:vAlign w:val="center"/>
          </w:tcPr>
          <w:p>
            <w:pPr>
              <w:widowControl/>
              <w:jc w:val="center"/>
              <w:rPr>
                <w:color w:val="000000"/>
              </w:rPr>
            </w:pPr>
            <w:r>
              <w:rPr>
                <w:color w:val="000000"/>
              </w:rPr>
              <w:t>黄雪松</w:t>
            </w:r>
          </w:p>
        </w:tc>
        <w:tc>
          <w:tcPr>
            <w:tcW w:w="1701" w:type="dxa"/>
            <w:tcBorders>
              <w:top w:val="single" w:color="auto" w:sz="4" w:space="0"/>
              <w:left w:val="nil"/>
              <w:bottom w:val="single" w:color="auto" w:sz="12" w:space="0"/>
              <w:right w:val="single" w:color="auto" w:sz="12" w:space="0"/>
            </w:tcBorders>
            <w:noWrap/>
            <w:vAlign w:val="center"/>
          </w:tcPr>
          <w:p>
            <w:pPr>
              <w:widowControl/>
              <w:jc w:val="center"/>
              <w:rPr>
                <w:color w:val="000000"/>
              </w:rPr>
            </w:pPr>
            <w:r>
              <w:rPr>
                <w:color w:val="000000"/>
              </w:rPr>
              <w:t>13774226304</w:t>
            </w:r>
          </w:p>
        </w:tc>
        <w:tc>
          <w:tcPr>
            <w:tcW w:w="1557" w:type="dxa"/>
            <w:vMerge w:val="continue"/>
            <w:tcBorders>
              <w:left w:val="nil"/>
              <w:bottom w:val="single" w:color="auto" w:sz="12" w:space="0"/>
              <w:right w:val="single" w:color="auto" w:sz="12" w:space="0"/>
            </w:tcBorders>
            <w:noWrap w:val="0"/>
            <w:vAlign w:val="center"/>
          </w:tcPr>
          <w:p>
            <w:pPr>
              <w:widowControl/>
              <w:jc w:val="center"/>
              <w:rPr>
                <w:rFonts w:hint="eastAsia"/>
                <w:color w:val="000000"/>
              </w:rPr>
            </w:pPr>
          </w:p>
        </w:tc>
        <w:tc>
          <w:tcPr>
            <w:tcW w:w="1134" w:type="dxa"/>
            <w:vMerge w:val="continue"/>
            <w:tcBorders>
              <w:left w:val="nil"/>
              <w:bottom w:val="single" w:color="auto" w:sz="12" w:space="0"/>
              <w:right w:val="single" w:color="auto" w:sz="12" w:space="0"/>
            </w:tcBorders>
            <w:noWrap w:val="0"/>
            <w:vAlign w:val="center"/>
          </w:tcPr>
          <w:p>
            <w:pPr>
              <w:widowControl/>
              <w:jc w:val="center"/>
              <w:rPr>
                <w:rFonts w:hint="eastAsia"/>
                <w:color w:val="000000"/>
              </w:rPr>
            </w:pPr>
          </w:p>
        </w:tc>
      </w:tr>
      <w:tr>
        <w:tblPrEx>
          <w:tblCellMar>
            <w:top w:w="0" w:type="dxa"/>
            <w:left w:w="108" w:type="dxa"/>
            <w:bottom w:w="0" w:type="dxa"/>
            <w:right w:w="108" w:type="dxa"/>
          </w:tblCellMar>
        </w:tblPrEx>
        <w:trPr>
          <w:trHeight w:val="535" w:hRule="atLeast"/>
        </w:trPr>
        <w:tc>
          <w:tcPr>
            <w:tcW w:w="736" w:type="dxa"/>
            <w:vMerge w:val="restart"/>
            <w:tcBorders>
              <w:top w:val="nil"/>
              <w:left w:val="single" w:color="auto" w:sz="12" w:space="0"/>
              <w:bottom w:val="single" w:color="000000" w:sz="12" w:space="0"/>
              <w:right w:val="single" w:color="auto" w:sz="4" w:space="0"/>
            </w:tcBorders>
            <w:noWrap/>
            <w:vAlign w:val="center"/>
          </w:tcPr>
          <w:p>
            <w:pPr>
              <w:widowControl/>
              <w:jc w:val="center"/>
              <w:rPr>
                <w:color w:val="000000"/>
              </w:rPr>
            </w:pPr>
            <w:r>
              <w:rPr>
                <w:rFonts w:hint="eastAsia"/>
                <w:color w:val="000000"/>
              </w:rPr>
              <w:t>中国银行</w:t>
            </w:r>
          </w:p>
        </w:tc>
        <w:tc>
          <w:tcPr>
            <w:tcW w:w="4934" w:type="dxa"/>
            <w:gridSpan w:val="2"/>
            <w:tcBorders>
              <w:top w:val="single" w:color="auto" w:sz="12" w:space="0"/>
              <w:left w:val="nil"/>
              <w:bottom w:val="nil"/>
              <w:right w:val="nil"/>
            </w:tcBorders>
            <w:noWrap/>
            <w:vAlign w:val="center"/>
          </w:tcPr>
          <w:p>
            <w:pPr>
              <w:widowControl/>
              <w:jc w:val="center"/>
              <w:rPr>
                <w:color w:val="000000"/>
              </w:rPr>
            </w:pPr>
            <w:r>
              <w:rPr>
                <w:rFonts w:hint="eastAsia"/>
                <w:color w:val="000000"/>
              </w:rPr>
              <w:t>上海市所有对公网点</w:t>
            </w:r>
          </w:p>
        </w:tc>
        <w:tc>
          <w:tcPr>
            <w:tcW w:w="1101" w:type="dxa"/>
            <w:tcBorders>
              <w:top w:val="nil"/>
              <w:left w:val="single" w:color="auto" w:sz="4" w:space="0"/>
              <w:bottom w:val="single" w:color="auto" w:sz="4" w:space="0"/>
              <w:right w:val="single" w:color="auto" w:sz="4" w:space="0"/>
            </w:tcBorders>
            <w:noWrap/>
            <w:vAlign w:val="center"/>
          </w:tcPr>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hint="eastAsia" w:ascii="inherit" w:hAnsi="inherit"/>
                <w:color w:val="000000"/>
                <w:sz w:val="21"/>
                <w:szCs w:val="21"/>
                <w:lang w:eastAsia="zh-CN"/>
              </w:rPr>
            </w:pPr>
            <w:r>
              <w:rPr>
                <w:rFonts w:ascii="inherit" w:hAnsi="inherit"/>
                <w:color w:val="000000"/>
                <w:sz w:val="21"/>
                <w:szCs w:val="21"/>
                <w:lang w:eastAsia="zh-CN"/>
              </w:rPr>
              <w:t>罗晶</w:t>
            </w:r>
          </w:p>
        </w:tc>
        <w:tc>
          <w:tcPr>
            <w:tcW w:w="1701" w:type="dxa"/>
            <w:tcBorders>
              <w:top w:val="nil"/>
              <w:left w:val="nil"/>
              <w:bottom w:val="single" w:color="auto" w:sz="4" w:space="0"/>
              <w:right w:val="single" w:color="auto" w:sz="12" w:space="0"/>
            </w:tcBorders>
            <w:noWrap/>
            <w:vAlign w:val="center"/>
          </w:tcPr>
          <w:p>
            <w:pPr>
              <w:pStyle w:val="9"/>
              <w:shd w:val="clear" w:color="auto" w:fill="FFFFFF"/>
              <w:jc w:val="center"/>
              <w:rPr>
                <w:rFonts w:ascii="inherit" w:hAnsi="inherit"/>
                <w:color w:val="000000"/>
                <w:sz w:val="21"/>
                <w:szCs w:val="21"/>
              </w:rPr>
            </w:pPr>
            <w:r>
              <w:rPr>
                <w:rFonts w:ascii="inherit" w:hAnsi="inherit"/>
                <w:color w:val="000000"/>
                <w:sz w:val="21"/>
                <w:szCs w:val="21"/>
              </w:rPr>
              <w:t>13817549310</w:t>
            </w:r>
          </w:p>
          <w:p>
            <w:pPr>
              <w:widowControl/>
              <w:jc w:val="center"/>
              <w:rPr>
                <w:color w:val="000000"/>
              </w:rPr>
            </w:pPr>
            <w:r>
              <w:rPr>
                <w:color w:val="000000"/>
              </w:rPr>
              <w:t>021-68402231</w:t>
            </w:r>
          </w:p>
        </w:tc>
        <w:tc>
          <w:tcPr>
            <w:tcW w:w="1557"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支持</w:t>
            </w:r>
          </w:p>
        </w:tc>
        <w:tc>
          <w:tcPr>
            <w:tcW w:w="1134"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r>
      <w:tr>
        <w:tblPrEx>
          <w:tblCellMar>
            <w:top w:w="0" w:type="dxa"/>
            <w:left w:w="108" w:type="dxa"/>
            <w:bottom w:w="0" w:type="dxa"/>
            <w:right w:w="108" w:type="dxa"/>
          </w:tblCellMar>
        </w:tblPrEx>
        <w:trPr>
          <w:trHeight w:val="557" w:hRule="atLeast"/>
        </w:trPr>
        <w:tc>
          <w:tcPr>
            <w:tcW w:w="736" w:type="dxa"/>
            <w:vMerge w:val="continue"/>
            <w:tcBorders>
              <w:top w:val="nil"/>
              <w:left w:val="single" w:color="auto" w:sz="12" w:space="0"/>
              <w:bottom w:val="single" w:color="000000" w:sz="12" w:space="0"/>
              <w:right w:val="single" w:color="auto" w:sz="4" w:space="0"/>
            </w:tcBorders>
            <w:noWrap w:val="0"/>
            <w:vAlign w:val="center"/>
          </w:tcPr>
          <w:p>
            <w:pPr>
              <w:widowControl/>
              <w:rPr>
                <w:color w:val="000000"/>
              </w:rPr>
            </w:pPr>
          </w:p>
        </w:tc>
        <w:tc>
          <w:tcPr>
            <w:tcW w:w="1532" w:type="dxa"/>
            <w:tcBorders>
              <w:top w:val="single" w:color="auto" w:sz="4" w:space="0"/>
              <w:left w:val="nil"/>
              <w:bottom w:val="nil"/>
              <w:right w:val="single" w:color="auto" w:sz="4" w:space="0"/>
            </w:tcBorders>
            <w:noWrap/>
            <w:vAlign w:val="center"/>
          </w:tcPr>
          <w:p>
            <w:pPr>
              <w:widowControl/>
              <w:jc w:val="center"/>
              <w:rPr>
                <w:color w:val="000000"/>
              </w:rPr>
            </w:pPr>
            <w:r>
              <w:rPr>
                <w:rFonts w:hint="eastAsia"/>
                <w:color w:val="000000"/>
              </w:rPr>
              <w:t>期货大厦支行</w:t>
            </w:r>
          </w:p>
        </w:tc>
        <w:tc>
          <w:tcPr>
            <w:tcW w:w="3402" w:type="dxa"/>
            <w:tcBorders>
              <w:top w:val="single" w:color="auto" w:sz="4" w:space="0"/>
              <w:left w:val="nil"/>
              <w:bottom w:val="nil"/>
              <w:right w:val="single" w:color="auto" w:sz="4" w:space="0"/>
            </w:tcBorders>
            <w:noWrap/>
            <w:vAlign w:val="center"/>
          </w:tcPr>
          <w:p>
            <w:pPr>
              <w:widowControl/>
              <w:jc w:val="center"/>
              <w:rPr>
                <w:color w:val="000000"/>
                <w:lang w:eastAsia="zh-CN"/>
              </w:rPr>
            </w:pPr>
            <w:r>
              <w:rPr>
                <w:rFonts w:hint="eastAsia"/>
                <w:color w:val="000000"/>
                <w:lang w:eastAsia="zh-CN"/>
              </w:rPr>
              <w:t>上海市浦东新区松林路300号2楼</w:t>
            </w:r>
          </w:p>
        </w:tc>
        <w:tc>
          <w:tcPr>
            <w:tcW w:w="1101" w:type="dxa"/>
            <w:tcBorders>
              <w:top w:val="nil"/>
              <w:left w:val="nil"/>
              <w:bottom w:val="nil"/>
              <w:right w:val="single" w:color="auto" w:sz="4" w:space="0"/>
            </w:tcBorders>
            <w:noWrap/>
            <w:vAlign w:val="center"/>
          </w:tcPr>
          <w:p>
            <w:pPr>
              <w:widowControl/>
              <w:jc w:val="center"/>
              <w:rPr>
                <w:color w:val="000000"/>
                <w:lang w:eastAsia="zh-CN"/>
              </w:rPr>
            </w:pPr>
            <w:r>
              <w:rPr>
                <w:rFonts w:hint="eastAsia"/>
                <w:color w:val="000000"/>
                <w:lang w:eastAsia="zh-CN"/>
              </w:rPr>
              <w:t>何玉婷</w:t>
            </w:r>
          </w:p>
        </w:tc>
        <w:tc>
          <w:tcPr>
            <w:tcW w:w="1701" w:type="dxa"/>
            <w:tcBorders>
              <w:top w:val="nil"/>
              <w:left w:val="nil"/>
              <w:bottom w:val="nil"/>
              <w:right w:val="single" w:color="auto" w:sz="12" w:space="0"/>
            </w:tcBorders>
            <w:noWrap/>
            <w:vAlign w:val="center"/>
          </w:tcPr>
          <w:p>
            <w:pPr>
              <w:widowControl/>
              <w:jc w:val="center"/>
              <w:rPr>
                <w:color w:val="000000"/>
              </w:rPr>
            </w:pPr>
            <w:r>
              <w:rPr>
                <w:color w:val="000000"/>
              </w:rPr>
              <w:t>13585528331</w:t>
            </w:r>
          </w:p>
          <w:p>
            <w:pPr>
              <w:widowControl/>
              <w:jc w:val="center"/>
              <w:rPr>
                <w:color w:val="000000"/>
              </w:rPr>
            </w:pPr>
            <w:r>
              <w:rPr>
                <w:color w:val="000000"/>
              </w:rPr>
              <w:t>021-68400413</w:t>
            </w:r>
          </w:p>
        </w:tc>
        <w:tc>
          <w:tcPr>
            <w:tcW w:w="1557" w:type="dxa"/>
            <w:vMerge w:val="continue"/>
            <w:tcBorders>
              <w:left w:val="nil"/>
              <w:bottom w:val="nil"/>
              <w:right w:val="single" w:color="auto" w:sz="12" w:space="0"/>
            </w:tcBorders>
            <w:noWrap w:val="0"/>
            <w:vAlign w:val="center"/>
          </w:tcPr>
          <w:p>
            <w:pPr>
              <w:widowControl/>
              <w:jc w:val="center"/>
              <w:rPr>
                <w:rFonts w:hint="eastAsia"/>
                <w:color w:val="000000"/>
              </w:rPr>
            </w:pPr>
          </w:p>
        </w:tc>
        <w:tc>
          <w:tcPr>
            <w:tcW w:w="1134" w:type="dxa"/>
            <w:vMerge w:val="continue"/>
            <w:tcBorders>
              <w:left w:val="nil"/>
              <w:bottom w:val="nil"/>
              <w:right w:val="single" w:color="auto" w:sz="12" w:space="0"/>
            </w:tcBorders>
            <w:noWrap w:val="0"/>
            <w:vAlign w:val="center"/>
          </w:tcPr>
          <w:p>
            <w:pPr>
              <w:widowControl/>
              <w:jc w:val="center"/>
              <w:rPr>
                <w:rFonts w:hint="eastAsia"/>
                <w:color w:val="000000"/>
              </w:rPr>
            </w:pPr>
          </w:p>
        </w:tc>
      </w:tr>
      <w:tr>
        <w:tblPrEx>
          <w:tblCellMar>
            <w:top w:w="0" w:type="dxa"/>
            <w:left w:w="108" w:type="dxa"/>
            <w:bottom w:w="0" w:type="dxa"/>
            <w:right w:w="108" w:type="dxa"/>
          </w:tblCellMar>
        </w:tblPrEx>
        <w:trPr>
          <w:trHeight w:val="538" w:hRule="atLeast"/>
        </w:trPr>
        <w:tc>
          <w:tcPr>
            <w:tcW w:w="736" w:type="dxa"/>
            <w:vMerge w:val="restart"/>
            <w:tcBorders>
              <w:top w:val="nil"/>
              <w:left w:val="single" w:color="auto" w:sz="12" w:space="0"/>
              <w:bottom w:val="single" w:color="000000" w:sz="12" w:space="0"/>
              <w:right w:val="single" w:color="auto" w:sz="4" w:space="0"/>
            </w:tcBorders>
            <w:noWrap/>
            <w:vAlign w:val="center"/>
          </w:tcPr>
          <w:p>
            <w:pPr>
              <w:widowControl/>
              <w:jc w:val="center"/>
              <w:rPr>
                <w:color w:val="000000"/>
              </w:rPr>
            </w:pPr>
            <w:r>
              <w:rPr>
                <w:rFonts w:hint="eastAsia"/>
                <w:color w:val="000000"/>
              </w:rPr>
              <w:t>浦发银行</w:t>
            </w:r>
          </w:p>
        </w:tc>
        <w:tc>
          <w:tcPr>
            <w:tcW w:w="1532" w:type="dxa"/>
            <w:vMerge w:val="restart"/>
            <w:tcBorders>
              <w:top w:val="single" w:color="auto" w:sz="12" w:space="0"/>
              <w:left w:val="single" w:color="auto" w:sz="4" w:space="0"/>
              <w:bottom w:val="single" w:color="000000" w:sz="12" w:space="0"/>
              <w:right w:val="single" w:color="auto" w:sz="4" w:space="0"/>
            </w:tcBorders>
            <w:noWrap/>
            <w:vAlign w:val="center"/>
          </w:tcPr>
          <w:p>
            <w:pPr>
              <w:widowControl/>
              <w:jc w:val="center"/>
              <w:rPr>
                <w:color w:val="000000"/>
              </w:rPr>
            </w:pPr>
            <w:r>
              <w:rPr>
                <w:rFonts w:hint="eastAsia"/>
                <w:color w:val="000000"/>
              </w:rPr>
              <w:t>期交所支行</w:t>
            </w:r>
          </w:p>
        </w:tc>
        <w:tc>
          <w:tcPr>
            <w:tcW w:w="3402" w:type="dxa"/>
            <w:vMerge w:val="restart"/>
            <w:tcBorders>
              <w:top w:val="single" w:color="auto" w:sz="12" w:space="0"/>
              <w:left w:val="single" w:color="auto" w:sz="4" w:space="0"/>
              <w:bottom w:val="single" w:color="000000" w:sz="12" w:space="0"/>
              <w:right w:val="single" w:color="auto" w:sz="4" w:space="0"/>
            </w:tcBorders>
            <w:noWrap/>
            <w:vAlign w:val="center"/>
          </w:tcPr>
          <w:p>
            <w:pPr>
              <w:widowControl/>
              <w:jc w:val="center"/>
              <w:rPr>
                <w:color w:val="000000"/>
                <w:lang w:eastAsia="zh-CN"/>
              </w:rPr>
            </w:pPr>
            <w:r>
              <w:rPr>
                <w:rFonts w:hint="eastAsia"/>
                <w:color w:val="000000"/>
                <w:lang w:eastAsia="zh-CN"/>
              </w:rPr>
              <w:t>上海市浦东新区浦电路577号1楼02A</w:t>
            </w:r>
          </w:p>
        </w:tc>
        <w:tc>
          <w:tcPr>
            <w:tcW w:w="1101" w:type="dxa"/>
            <w:tcBorders>
              <w:top w:val="single" w:color="auto" w:sz="12" w:space="0"/>
              <w:left w:val="nil"/>
              <w:bottom w:val="nil"/>
              <w:right w:val="single" w:color="auto" w:sz="4" w:space="0"/>
            </w:tcBorders>
            <w:noWrap/>
            <w:vAlign w:val="center"/>
          </w:tcPr>
          <w:p>
            <w:pPr>
              <w:widowControl/>
              <w:jc w:val="center"/>
              <w:rPr>
                <w:color w:val="000000"/>
                <w:lang w:eastAsia="zh-CN"/>
              </w:rPr>
            </w:pPr>
            <w:r>
              <w:rPr>
                <w:rFonts w:hint="eastAsia"/>
                <w:color w:val="000000"/>
                <w:lang w:eastAsia="zh-CN"/>
              </w:rPr>
              <w:t>王达鑫</w:t>
            </w:r>
          </w:p>
        </w:tc>
        <w:tc>
          <w:tcPr>
            <w:tcW w:w="1701" w:type="dxa"/>
            <w:tcBorders>
              <w:top w:val="single" w:color="auto" w:sz="12" w:space="0"/>
              <w:left w:val="nil"/>
              <w:bottom w:val="nil"/>
              <w:right w:val="single" w:color="auto" w:sz="12" w:space="0"/>
            </w:tcBorders>
            <w:noWrap/>
            <w:vAlign w:val="center"/>
          </w:tcPr>
          <w:p>
            <w:pPr>
              <w:widowControl/>
              <w:jc w:val="center"/>
              <w:rPr>
                <w:color w:val="000000"/>
              </w:rPr>
            </w:pPr>
            <w:r>
              <w:rPr>
                <w:color w:val="000000"/>
              </w:rPr>
              <w:t>13817206906</w:t>
            </w:r>
          </w:p>
        </w:tc>
        <w:tc>
          <w:tcPr>
            <w:tcW w:w="1557" w:type="dxa"/>
            <w:vMerge w:val="restart"/>
            <w:tcBorders>
              <w:top w:val="single" w:color="auto" w:sz="12" w:space="0"/>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c>
          <w:tcPr>
            <w:tcW w:w="1134" w:type="dxa"/>
            <w:vMerge w:val="restart"/>
            <w:tcBorders>
              <w:top w:val="single" w:color="auto" w:sz="12" w:space="0"/>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r>
      <w:tr>
        <w:tblPrEx>
          <w:tblCellMar>
            <w:top w:w="0" w:type="dxa"/>
            <w:left w:w="108" w:type="dxa"/>
            <w:bottom w:w="0" w:type="dxa"/>
            <w:right w:w="108" w:type="dxa"/>
          </w:tblCellMar>
        </w:tblPrEx>
        <w:trPr>
          <w:trHeight w:val="390" w:hRule="atLeast"/>
        </w:trPr>
        <w:tc>
          <w:tcPr>
            <w:tcW w:w="736" w:type="dxa"/>
            <w:vMerge w:val="continue"/>
            <w:tcBorders>
              <w:top w:val="nil"/>
              <w:left w:val="single" w:color="auto" w:sz="12" w:space="0"/>
              <w:bottom w:val="single" w:color="000000" w:sz="12" w:space="0"/>
              <w:right w:val="single" w:color="auto" w:sz="4" w:space="0"/>
            </w:tcBorders>
            <w:noWrap w:val="0"/>
            <w:vAlign w:val="center"/>
          </w:tcPr>
          <w:p>
            <w:pPr>
              <w:widowControl/>
              <w:rPr>
                <w:color w:val="000000"/>
              </w:rPr>
            </w:pPr>
          </w:p>
        </w:tc>
        <w:tc>
          <w:tcPr>
            <w:tcW w:w="1532" w:type="dxa"/>
            <w:vMerge w:val="continue"/>
            <w:tcBorders>
              <w:top w:val="single" w:color="auto" w:sz="12" w:space="0"/>
              <w:left w:val="single" w:color="auto" w:sz="4" w:space="0"/>
              <w:bottom w:val="single" w:color="000000" w:sz="12" w:space="0"/>
              <w:right w:val="single" w:color="auto" w:sz="4" w:space="0"/>
            </w:tcBorders>
            <w:noWrap w:val="0"/>
            <w:vAlign w:val="center"/>
          </w:tcPr>
          <w:p>
            <w:pPr>
              <w:widowControl/>
              <w:rPr>
                <w:color w:val="000000"/>
              </w:rPr>
            </w:pPr>
          </w:p>
        </w:tc>
        <w:tc>
          <w:tcPr>
            <w:tcW w:w="3402" w:type="dxa"/>
            <w:vMerge w:val="continue"/>
            <w:tcBorders>
              <w:top w:val="single" w:color="auto" w:sz="12" w:space="0"/>
              <w:left w:val="single" w:color="auto" w:sz="4" w:space="0"/>
              <w:bottom w:val="single" w:color="000000" w:sz="12" w:space="0"/>
              <w:right w:val="single" w:color="auto" w:sz="4" w:space="0"/>
            </w:tcBorders>
            <w:noWrap w:val="0"/>
            <w:vAlign w:val="center"/>
          </w:tcPr>
          <w:p>
            <w:pPr>
              <w:widowControl/>
              <w:rPr>
                <w:color w:val="000000"/>
              </w:rPr>
            </w:pPr>
          </w:p>
        </w:tc>
        <w:tc>
          <w:tcPr>
            <w:tcW w:w="1101" w:type="dxa"/>
            <w:tcBorders>
              <w:top w:val="single" w:color="auto" w:sz="4" w:space="0"/>
              <w:left w:val="nil"/>
              <w:bottom w:val="nil"/>
              <w:right w:val="single" w:color="auto" w:sz="4" w:space="0"/>
            </w:tcBorders>
            <w:noWrap/>
            <w:vAlign w:val="center"/>
          </w:tcPr>
          <w:p>
            <w:pPr>
              <w:widowControl/>
              <w:jc w:val="center"/>
              <w:rPr>
                <w:rFonts w:hint="eastAsia"/>
                <w:color w:val="000000"/>
                <w:lang w:eastAsia="zh-CN"/>
              </w:rPr>
            </w:pPr>
            <w:r>
              <w:rPr>
                <w:rFonts w:hint="eastAsia"/>
                <w:color w:val="000000"/>
                <w:lang w:eastAsia="zh-CN"/>
              </w:rPr>
              <w:t>李</w:t>
            </w:r>
            <w:r>
              <w:rPr>
                <w:color w:val="000000"/>
                <w:lang w:eastAsia="zh-CN"/>
              </w:rPr>
              <w:t>雨萌</w:t>
            </w:r>
          </w:p>
        </w:tc>
        <w:tc>
          <w:tcPr>
            <w:tcW w:w="1701" w:type="dxa"/>
            <w:tcBorders>
              <w:top w:val="single" w:color="auto" w:sz="4" w:space="0"/>
              <w:left w:val="nil"/>
              <w:bottom w:val="nil"/>
              <w:right w:val="single" w:color="auto" w:sz="12" w:space="0"/>
            </w:tcBorders>
            <w:noWrap/>
            <w:vAlign w:val="center"/>
          </w:tcPr>
          <w:p>
            <w:pPr>
              <w:widowControl/>
              <w:jc w:val="center"/>
              <w:rPr>
                <w:rFonts w:hint="eastAsia"/>
                <w:color w:val="000000"/>
                <w:lang w:eastAsia="zh-CN"/>
              </w:rPr>
            </w:pPr>
            <w:r>
              <w:rPr>
                <w:rFonts w:hint="eastAsia"/>
                <w:color w:val="000000"/>
                <w:lang w:eastAsia="zh-CN"/>
              </w:rPr>
              <w:t>13795463093</w:t>
            </w:r>
          </w:p>
        </w:tc>
        <w:tc>
          <w:tcPr>
            <w:tcW w:w="1557" w:type="dxa"/>
            <w:vMerge w:val="continue"/>
            <w:tcBorders>
              <w:left w:val="nil"/>
              <w:right w:val="single" w:color="auto" w:sz="12" w:space="0"/>
            </w:tcBorders>
            <w:noWrap w:val="0"/>
            <w:vAlign w:val="center"/>
          </w:tcPr>
          <w:p>
            <w:pPr>
              <w:widowControl/>
              <w:jc w:val="center"/>
              <w:rPr>
                <w:rFonts w:hint="eastAsia"/>
                <w:color w:val="000000"/>
              </w:rPr>
            </w:pPr>
          </w:p>
        </w:tc>
        <w:tc>
          <w:tcPr>
            <w:tcW w:w="1134" w:type="dxa"/>
            <w:vMerge w:val="continue"/>
            <w:tcBorders>
              <w:left w:val="nil"/>
              <w:right w:val="single" w:color="auto" w:sz="12" w:space="0"/>
            </w:tcBorders>
            <w:noWrap w:val="0"/>
            <w:vAlign w:val="center"/>
          </w:tcPr>
          <w:p>
            <w:pPr>
              <w:widowControl/>
              <w:jc w:val="center"/>
              <w:rPr>
                <w:rFonts w:hint="eastAsia"/>
                <w:color w:val="000000"/>
              </w:rPr>
            </w:pPr>
          </w:p>
        </w:tc>
      </w:tr>
      <w:tr>
        <w:tblPrEx>
          <w:tblCellMar>
            <w:top w:w="0" w:type="dxa"/>
            <w:left w:w="108" w:type="dxa"/>
            <w:bottom w:w="0" w:type="dxa"/>
            <w:right w:w="108" w:type="dxa"/>
          </w:tblCellMar>
        </w:tblPrEx>
        <w:trPr>
          <w:trHeight w:val="537" w:hRule="atLeast"/>
        </w:trPr>
        <w:tc>
          <w:tcPr>
            <w:tcW w:w="736" w:type="dxa"/>
            <w:vMerge w:val="continue"/>
            <w:tcBorders>
              <w:top w:val="nil"/>
              <w:left w:val="single" w:color="auto" w:sz="12" w:space="0"/>
              <w:bottom w:val="single" w:color="000000" w:sz="12" w:space="0"/>
              <w:right w:val="single" w:color="auto" w:sz="4" w:space="0"/>
            </w:tcBorders>
            <w:noWrap w:val="0"/>
            <w:vAlign w:val="center"/>
          </w:tcPr>
          <w:p>
            <w:pPr>
              <w:widowControl/>
              <w:rPr>
                <w:color w:val="000000"/>
              </w:rPr>
            </w:pPr>
          </w:p>
        </w:tc>
        <w:tc>
          <w:tcPr>
            <w:tcW w:w="1532" w:type="dxa"/>
            <w:vMerge w:val="continue"/>
            <w:tcBorders>
              <w:top w:val="single" w:color="auto" w:sz="12" w:space="0"/>
              <w:left w:val="single" w:color="auto" w:sz="4" w:space="0"/>
              <w:bottom w:val="single" w:color="000000" w:sz="12" w:space="0"/>
              <w:right w:val="single" w:color="auto" w:sz="4" w:space="0"/>
            </w:tcBorders>
            <w:noWrap w:val="0"/>
            <w:vAlign w:val="center"/>
          </w:tcPr>
          <w:p>
            <w:pPr>
              <w:widowControl/>
              <w:rPr>
                <w:color w:val="000000"/>
              </w:rPr>
            </w:pPr>
          </w:p>
        </w:tc>
        <w:tc>
          <w:tcPr>
            <w:tcW w:w="3402" w:type="dxa"/>
            <w:vMerge w:val="continue"/>
            <w:tcBorders>
              <w:top w:val="single" w:color="auto" w:sz="12" w:space="0"/>
              <w:left w:val="single" w:color="auto" w:sz="4" w:space="0"/>
              <w:bottom w:val="single" w:color="000000" w:sz="12" w:space="0"/>
              <w:right w:val="single" w:color="auto" w:sz="4" w:space="0"/>
            </w:tcBorders>
            <w:noWrap w:val="0"/>
            <w:vAlign w:val="center"/>
          </w:tcPr>
          <w:p>
            <w:pPr>
              <w:widowControl/>
              <w:rPr>
                <w:color w:val="000000"/>
              </w:rPr>
            </w:pPr>
          </w:p>
        </w:tc>
        <w:tc>
          <w:tcPr>
            <w:tcW w:w="1101" w:type="dxa"/>
            <w:tcBorders>
              <w:top w:val="single" w:color="auto" w:sz="4" w:space="0"/>
              <w:left w:val="nil"/>
              <w:bottom w:val="single" w:color="auto" w:sz="12" w:space="0"/>
              <w:right w:val="single" w:color="auto" w:sz="4" w:space="0"/>
            </w:tcBorders>
            <w:noWrap/>
            <w:vAlign w:val="center"/>
          </w:tcPr>
          <w:p>
            <w:pPr>
              <w:widowControl/>
              <w:jc w:val="center"/>
              <w:rPr>
                <w:color w:val="000000"/>
              </w:rPr>
            </w:pPr>
            <w:r>
              <w:rPr>
                <w:rFonts w:hint="eastAsia"/>
                <w:color w:val="000000"/>
              </w:rPr>
              <w:t>对公柜台</w:t>
            </w:r>
          </w:p>
        </w:tc>
        <w:tc>
          <w:tcPr>
            <w:tcW w:w="1701" w:type="dxa"/>
            <w:tcBorders>
              <w:top w:val="single" w:color="auto" w:sz="4" w:space="0"/>
              <w:left w:val="nil"/>
              <w:bottom w:val="single" w:color="auto" w:sz="12" w:space="0"/>
              <w:right w:val="single" w:color="auto" w:sz="12" w:space="0"/>
            </w:tcBorders>
            <w:noWrap/>
            <w:vAlign w:val="center"/>
          </w:tcPr>
          <w:p>
            <w:pPr>
              <w:widowControl/>
              <w:jc w:val="center"/>
              <w:rPr>
                <w:color w:val="000000"/>
              </w:rPr>
            </w:pPr>
            <w:r>
              <w:rPr>
                <w:rFonts w:hint="eastAsia"/>
                <w:color w:val="000000"/>
              </w:rPr>
              <w:t>021-50495575</w:t>
            </w:r>
          </w:p>
        </w:tc>
        <w:tc>
          <w:tcPr>
            <w:tcW w:w="1557" w:type="dxa"/>
            <w:vMerge w:val="continue"/>
            <w:tcBorders>
              <w:left w:val="nil"/>
              <w:bottom w:val="single" w:color="auto" w:sz="12" w:space="0"/>
              <w:right w:val="single" w:color="auto" w:sz="12" w:space="0"/>
            </w:tcBorders>
            <w:noWrap w:val="0"/>
            <w:vAlign w:val="center"/>
          </w:tcPr>
          <w:p>
            <w:pPr>
              <w:widowControl/>
              <w:jc w:val="center"/>
              <w:rPr>
                <w:rFonts w:hint="eastAsia"/>
                <w:color w:val="000000"/>
              </w:rPr>
            </w:pPr>
          </w:p>
        </w:tc>
        <w:tc>
          <w:tcPr>
            <w:tcW w:w="1134" w:type="dxa"/>
            <w:vMerge w:val="continue"/>
            <w:tcBorders>
              <w:left w:val="nil"/>
              <w:bottom w:val="single" w:color="auto" w:sz="12" w:space="0"/>
              <w:right w:val="single" w:color="auto" w:sz="12" w:space="0"/>
            </w:tcBorders>
            <w:noWrap w:val="0"/>
            <w:vAlign w:val="center"/>
          </w:tcPr>
          <w:p>
            <w:pPr>
              <w:widowControl/>
              <w:jc w:val="center"/>
              <w:rPr>
                <w:rFonts w:hint="eastAsia"/>
                <w:color w:val="000000"/>
              </w:rPr>
            </w:pPr>
          </w:p>
        </w:tc>
      </w:tr>
      <w:tr>
        <w:tblPrEx>
          <w:tblCellMar>
            <w:top w:w="0" w:type="dxa"/>
            <w:left w:w="108" w:type="dxa"/>
            <w:bottom w:w="0" w:type="dxa"/>
            <w:right w:w="108" w:type="dxa"/>
          </w:tblCellMar>
        </w:tblPrEx>
        <w:trPr>
          <w:trHeight w:val="531" w:hRule="atLeast"/>
        </w:trPr>
        <w:tc>
          <w:tcPr>
            <w:tcW w:w="736" w:type="dxa"/>
            <w:vMerge w:val="restart"/>
            <w:tcBorders>
              <w:top w:val="nil"/>
              <w:left w:val="single" w:color="auto" w:sz="12" w:space="0"/>
              <w:bottom w:val="single" w:color="000000" w:sz="12" w:space="0"/>
              <w:right w:val="single" w:color="auto" w:sz="4" w:space="0"/>
            </w:tcBorders>
            <w:noWrap/>
            <w:vAlign w:val="center"/>
          </w:tcPr>
          <w:p>
            <w:pPr>
              <w:widowControl/>
              <w:jc w:val="center"/>
              <w:rPr>
                <w:color w:val="000000"/>
              </w:rPr>
            </w:pPr>
            <w:r>
              <w:rPr>
                <w:rFonts w:hint="eastAsia"/>
                <w:color w:val="000000"/>
              </w:rPr>
              <w:t>平安银行</w:t>
            </w:r>
          </w:p>
        </w:tc>
        <w:tc>
          <w:tcPr>
            <w:tcW w:w="1532" w:type="dxa"/>
            <w:vMerge w:val="restart"/>
            <w:tcBorders>
              <w:top w:val="nil"/>
              <w:left w:val="single" w:color="auto" w:sz="4" w:space="0"/>
              <w:bottom w:val="single" w:color="000000" w:sz="12" w:space="0"/>
              <w:right w:val="single" w:color="auto" w:sz="4" w:space="0"/>
            </w:tcBorders>
            <w:noWrap/>
            <w:vAlign w:val="center"/>
          </w:tcPr>
          <w:p>
            <w:pPr>
              <w:widowControl/>
              <w:jc w:val="center"/>
              <w:rPr>
                <w:color w:val="000000"/>
              </w:rPr>
            </w:pPr>
            <w:r>
              <w:rPr>
                <w:rFonts w:hint="eastAsia"/>
                <w:color w:val="000000"/>
              </w:rPr>
              <w:t>上海交易所支行</w:t>
            </w:r>
          </w:p>
        </w:tc>
        <w:tc>
          <w:tcPr>
            <w:tcW w:w="3402" w:type="dxa"/>
            <w:vMerge w:val="restart"/>
            <w:tcBorders>
              <w:top w:val="nil"/>
              <w:left w:val="single" w:color="auto" w:sz="4" w:space="0"/>
              <w:bottom w:val="single" w:color="000000" w:sz="12" w:space="0"/>
              <w:right w:val="single" w:color="auto" w:sz="4" w:space="0"/>
            </w:tcBorders>
            <w:noWrap/>
            <w:vAlign w:val="center"/>
          </w:tcPr>
          <w:p>
            <w:pPr>
              <w:widowControl/>
              <w:jc w:val="center"/>
              <w:rPr>
                <w:color w:val="000000"/>
                <w:lang w:eastAsia="zh-CN"/>
              </w:rPr>
            </w:pPr>
            <w:r>
              <w:rPr>
                <w:rFonts w:hint="eastAsia"/>
                <w:color w:val="000000"/>
                <w:lang w:eastAsia="zh-CN"/>
              </w:rPr>
              <w:t>上海市浦东新区向城路288号1楼</w:t>
            </w:r>
          </w:p>
        </w:tc>
        <w:tc>
          <w:tcPr>
            <w:tcW w:w="1101" w:type="dxa"/>
            <w:tcBorders>
              <w:top w:val="nil"/>
              <w:left w:val="nil"/>
              <w:bottom w:val="nil"/>
              <w:right w:val="single" w:color="auto" w:sz="4" w:space="0"/>
            </w:tcBorders>
            <w:noWrap/>
            <w:vAlign w:val="center"/>
          </w:tcPr>
          <w:p>
            <w:pPr>
              <w:widowControl/>
              <w:jc w:val="center"/>
              <w:rPr>
                <w:color w:val="000000"/>
              </w:rPr>
            </w:pPr>
            <w:r>
              <w:rPr>
                <w:rFonts w:hint="eastAsia"/>
                <w:color w:val="000000"/>
              </w:rPr>
              <w:t>金璐</w:t>
            </w:r>
          </w:p>
        </w:tc>
        <w:tc>
          <w:tcPr>
            <w:tcW w:w="1701" w:type="dxa"/>
            <w:tcBorders>
              <w:top w:val="nil"/>
              <w:left w:val="nil"/>
              <w:bottom w:val="nil"/>
              <w:right w:val="single" w:color="auto" w:sz="12" w:space="0"/>
            </w:tcBorders>
            <w:noWrap/>
            <w:vAlign w:val="center"/>
          </w:tcPr>
          <w:p>
            <w:pPr>
              <w:widowControl/>
              <w:jc w:val="center"/>
              <w:rPr>
                <w:color w:val="000000"/>
              </w:rPr>
            </w:pPr>
            <w:r>
              <w:rPr>
                <w:color w:val="000000"/>
              </w:rPr>
              <w:t>13916770660</w:t>
            </w:r>
          </w:p>
        </w:tc>
        <w:tc>
          <w:tcPr>
            <w:tcW w:w="1557"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c>
          <w:tcPr>
            <w:tcW w:w="1134" w:type="dxa"/>
            <w:vMerge w:val="restart"/>
            <w:tcBorders>
              <w:top w:val="nil"/>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r>
      <w:tr>
        <w:tblPrEx>
          <w:tblCellMar>
            <w:top w:w="0" w:type="dxa"/>
            <w:left w:w="108" w:type="dxa"/>
            <w:bottom w:w="0" w:type="dxa"/>
            <w:right w:w="108" w:type="dxa"/>
          </w:tblCellMar>
        </w:tblPrEx>
        <w:trPr>
          <w:trHeight w:val="531" w:hRule="atLeast"/>
        </w:trPr>
        <w:tc>
          <w:tcPr>
            <w:tcW w:w="736" w:type="dxa"/>
            <w:vMerge w:val="continue"/>
            <w:tcBorders>
              <w:top w:val="nil"/>
              <w:left w:val="single" w:color="auto" w:sz="12" w:space="0"/>
              <w:bottom w:val="single" w:color="000000" w:sz="12" w:space="0"/>
              <w:right w:val="single" w:color="auto" w:sz="4" w:space="0"/>
            </w:tcBorders>
            <w:noWrap w:val="0"/>
            <w:vAlign w:val="center"/>
          </w:tcPr>
          <w:p>
            <w:pPr>
              <w:widowControl/>
              <w:rPr>
                <w:color w:val="000000"/>
              </w:rPr>
            </w:pPr>
          </w:p>
        </w:tc>
        <w:tc>
          <w:tcPr>
            <w:tcW w:w="1532" w:type="dxa"/>
            <w:vMerge w:val="continue"/>
            <w:tcBorders>
              <w:top w:val="nil"/>
              <w:left w:val="single" w:color="auto" w:sz="4" w:space="0"/>
              <w:bottom w:val="single" w:color="000000" w:sz="12" w:space="0"/>
              <w:right w:val="single" w:color="auto" w:sz="4" w:space="0"/>
            </w:tcBorders>
            <w:noWrap w:val="0"/>
            <w:vAlign w:val="center"/>
          </w:tcPr>
          <w:p>
            <w:pPr>
              <w:widowControl/>
              <w:rPr>
                <w:color w:val="000000"/>
              </w:rPr>
            </w:pPr>
          </w:p>
        </w:tc>
        <w:tc>
          <w:tcPr>
            <w:tcW w:w="3402" w:type="dxa"/>
            <w:vMerge w:val="continue"/>
            <w:tcBorders>
              <w:top w:val="nil"/>
              <w:left w:val="single" w:color="auto" w:sz="4" w:space="0"/>
              <w:bottom w:val="single" w:color="000000" w:sz="12" w:space="0"/>
              <w:right w:val="single" w:color="auto" w:sz="4" w:space="0"/>
            </w:tcBorders>
            <w:noWrap w:val="0"/>
            <w:vAlign w:val="center"/>
          </w:tcPr>
          <w:p>
            <w:pPr>
              <w:widowControl/>
              <w:rPr>
                <w:color w:val="000000"/>
              </w:rPr>
            </w:pPr>
          </w:p>
        </w:tc>
        <w:tc>
          <w:tcPr>
            <w:tcW w:w="1101" w:type="dxa"/>
            <w:tcBorders>
              <w:top w:val="single" w:color="auto" w:sz="4" w:space="0"/>
              <w:left w:val="nil"/>
              <w:bottom w:val="single" w:color="auto" w:sz="12" w:space="0"/>
              <w:right w:val="single" w:color="auto" w:sz="4" w:space="0"/>
            </w:tcBorders>
            <w:noWrap/>
            <w:vAlign w:val="center"/>
          </w:tcPr>
          <w:p>
            <w:pPr>
              <w:widowControl/>
              <w:jc w:val="center"/>
              <w:rPr>
                <w:color w:val="000000"/>
              </w:rPr>
            </w:pPr>
            <w:r>
              <w:rPr>
                <w:rFonts w:hint="eastAsia"/>
                <w:color w:val="000000"/>
              </w:rPr>
              <w:t>专柜电话</w:t>
            </w:r>
          </w:p>
        </w:tc>
        <w:tc>
          <w:tcPr>
            <w:tcW w:w="1701" w:type="dxa"/>
            <w:tcBorders>
              <w:top w:val="single" w:color="auto" w:sz="4" w:space="0"/>
              <w:left w:val="nil"/>
              <w:bottom w:val="single" w:color="auto" w:sz="12" w:space="0"/>
              <w:right w:val="single" w:color="auto" w:sz="12" w:space="0"/>
            </w:tcBorders>
            <w:noWrap/>
            <w:vAlign w:val="center"/>
          </w:tcPr>
          <w:p>
            <w:pPr>
              <w:widowControl/>
              <w:jc w:val="center"/>
              <w:rPr>
                <w:color w:val="000000"/>
              </w:rPr>
            </w:pPr>
            <w:r>
              <w:rPr>
                <w:rFonts w:hint="eastAsia"/>
                <w:color w:val="000000"/>
              </w:rPr>
              <w:t>58666527</w:t>
            </w:r>
          </w:p>
        </w:tc>
        <w:tc>
          <w:tcPr>
            <w:tcW w:w="1557" w:type="dxa"/>
            <w:vMerge w:val="continue"/>
            <w:tcBorders>
              <w:left w:val="nil"/>
              <w:bottom w:val="single" w:color="auto" w:sz="12" w:space="0"/>
              <w:right w:val="single" w:color="auto" w:sz="12" w:space="0"/>
            </w:tcBorders>
            <w:noWrap w:val="0"/>
            <w:vAlign w:val="center"/>
          </w:tcPr>
          <w:p>
            <w:pPr>
              <w:widowControl/>
              <w:jc w:val="center"/>
              <w:rPr>
                <w:rFonts w:hint="eastAsia"/>
                <w:color w:val="000000"/>
              </w:rPr>
            </w:pPr>
          </w:p>
        </w:tc>
        <w:tc>
          <w:tcPr>
            <w:tcW w:w="1134" w:type="dxa"/>
            <w:vMerge w:val="continue"/>
            <w:tcBorders>
              <w:left w:val="nil"/>
              <w:bottom w:val="single" w:color="auto" w:sz="12" w:space="0"/>
              <w:right w:val="single" w:color="auto" w:sz="12" w:space="0"/>
            </w:tcBorders>
            <w:noWrap w:val="0"/>
            <w:vAlign w:val="center"/>
          </w:tcPr>
          <w:p>
            <w:pPr>
              <w:widowControl/>
              <w:jc w:val="center"/>
              <w:rPr>
                <w:rFonts w:hint="eastAsia"/>
                <w:color w:val="000000"/>
              </w:rPr>
            </w:pPr>
          </w:p>
        </w:tc>
      </w:tr>
      <w:tr>
        <w:tblPrEx>
          <w:tblCellMar>
            <w:top w:w="0" w:type="dxa"/>
            <w:left w:w="108" w:type="dxa"/>
            <w:bottom w:w="0" w:type="dxa"/>
            <w:right w:w="108" w:type="dxa"/>
          </w:tblCellMar>
        </w:tblPrEx>
        <w:trPr>
          <w:trHeight w:val="539" w:hRule="atLeast"/>
        </w:trPr>
        <w:tc>
          <w:tcPr>
            <w:tcW w:w="736" w:type="dxa"/>
            <w:vMerge w:val="restart"/>
            <w:tcBorders>
              <w:top w:val="nil"/>
              <w:left w:val="single" w:color="auto" w:sz="12" w:space="0"/>
              <w:right w:val="single" w:color="auto" w:sz="4" w:space="0"/>
            </w:tcBorders>
            <w:noWrap/>
            <w:vAlign w:val="center"/>
          </w:tcPr>
          <w:p>
            <w:pPr>
              <w:widowControl/>
              <w:jc w:val="center"/>
              <w:rPr>
                <w:color w:val="000000"/>
              </w:rPr>
            </w:pPr>
            <w:r>
              <w:rPr>
                <w:rFonts w:hint="eastAsia"/>
                <w:color w:val="000000"/>
              </w:rPr>
              <w:t>中信银行</w:t>
            </w:r>
          </w:p>
        </w:tc>
        <w:tc>
          <w:tcPr>
            <w:tcW w:w="1532" w:type="dxa"/>
            <w:vMerge w:val="restart"/>
            <w:tcBorders>
              <w:top w:val="nil"/>
              <w:left w:val="single" w:color="auto" w:sz="4" w:space="0"/>
              <w:right w:val="single" w:color="auto" w:sz="4" w:space="0"/>
            </w:tcBorders>
            <w:noWrap/>
            <w:vAlign w:val="center"/>
          </w:tcPr>
          <w:p>
            <w:pPr>
              <w:widowControl/>
              <w:jc w:val="center"/>
              <w:rPr>
                <w:color w:val="000000"/>
              </w:rPr>
            </w:pPr>
            <w:r>
              <w:rPr>
                <w:rFonts w:hint="eastAsia"/>
                <w:color w:val="000000"/>
              </w:rPr>
              <w:t>上海浦电路支行</w:t>
            </w:r>
          </w:p>
        </w:tc>
        <w:tc>
          <w:tcPr>
            <w:tcW w:w="3402" w:type="dxa"/>
            <w:vMerge w:val="restart"/>
            <w:tcBorders>
              <w:top w:val="nil"/>
              <w:left w:val="single" w:color="auto" w:sz="4" w:space="0"/>
              <w:right w:val="single" w:color="auto" w:sz="4" w:space="0"/>
            </w:tcBorders>
            <w:noWrap/>
            <w:vAlign w:val="center"/>
          </w:tcPr>
          <w:p>
            <w:pPr>
              <w:widowControl/>
              <w:jc w:val="center"/>
              <w:rPr>
                <w:color w:val="000000"/>
                <w:lang w:eastAsia="zh-CN"/>
              </w:rPr>
            </w:pPr>
            <w:r>
              <w:rPr>
                <w:rFonts w:hint="eastAsia"/>
                <w:color w:val="000000"/>
                <w:lang w:eastAsia="zh-CN"/>
              </w:rPr>
              <w:t>上海市浦东新区浦电路438号1楼</w:t>
            </w:r>
          </w:p>
        </w:tc>
        <w:tc>
          <w:tcPr>
            <w:tcW w:w="1101" w:type="dxa"/>
            <w:tcBorders>
              <w:top w:val="nil"/>
              <w:left w:val="nil"/>
              <w:bottom w:val="nil"/>
              <w:right w:val="single" w:color="auto" w:sz="4" w:space="0"/>
            </w:tcBorders>
            <w:noWrap/>
            <w:vAlign w:val="center"/>
          </w:tcPr>
          <w:p>
            <w:pPr>
              <w:widowControl/>
              <w:jc w:val="center"/>
              <w:rPr>
                <w:color w:val="000000"/>
              </w:rPr>
            </w:pPr>
            <w:r>
              <w:rPr>
                <w:rFonts w:ascii="inherit" w:hAnsi="inherit"/>
                <w:color w:val="000000"/>
                <w:sz w:val="21"/>
                <w:szCs w:val="21"/>
                <w:lang w:eastAsia="zh-CN"/>
              </w:rPr>
              <w:t>漆曜</w:t>
            </w:r>
          </w:p>
        </w:tc>
        <w:tc>
          <w:tcPr>
            <w:tcW w:w="1701" w:type="dxa"/>
            <w:tcBorders>
              <w:top w:val="nil"/>
              <w:left w:val="nil"/>
              <w:bottom w:val="single" w:color="auto" w:sz="4" w:space="0"/>
              <w:right w:val="single" w:color="auto" w:sz="12" w:space="0"/>
            </w:tcBorders>
            <w:noWrap/>
            <w:vAlign w:val="center"/>
          </w:tcPr>
          <w:p>
            <w:pPr>
              <w:jc w:val="center"/>
              <w:rPr>
                <w:color w:val="000000"/>
              </w:rPr>
            </w:pPr>
            <w:r>
              <w:rPr>
                <w:color w:val="000000"/>
              </w:rPr>
              <w:t>13764519887</w:t>
            </w:r>
          </w:p>
        </w:tc>
        <w:tc>
          <w:tcPr>
            <w:tcW w:w="1557" w:type="dxa"/>
            <w:vMerge w:val="restart"/>
            <w:tcBorders>
              <w:top w:val="single" w:color="auto" w:sz="12" w:space="0"/>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c>
          <w:tcPr>
            <w:tcW w:w="1134" w:type="dxa"/>
            <w:vMerge w:val="restart"/>
            <w:tcBorders>
              <w:top w:val="single" w:color="auto" w:sz="12" w:space="0"/>
              <w:left w:val="nil"/>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r>
      <w:tr>
        <w:tblPrEx>
          <w:tblCellMar>
            <w:top w:w="0" w:type="dxa"/>
            <w:left w:w="108" w:type="dxa"/>
            <w:bottom w:w="0" w:type="dxa"/>
            <w:right w:w="108" w:type="dxa"/>
          </w:tblCellMar>
        </w:tblPrEx>
        <w:trPr>
          <w:trHeight w:val="624" w:hRule="atLeast"/>
        </w:trPr>
        <w:tc>
          <w:tcPr>
            <w:tcW w:w="736" w:type="dxa"/>
            <w:vMerge w:val="continue"/>
            <w:tcBorders>
              <w:left w:val="single" w:color="auto" w:sz="12" w:space="0"/>
              <w:right w:val="single" w:color="auto" w:sz="4" w:space="0"/>
            </w:tcBorders>
            <w:noWrap w:val="0"/>
            <w:vAlign w:val="center"/>
          </w:tcPr>
          <w:p>
            <w:pPr>
              <w:widowControl/>
              <w:rPr>
                <w:color w:val="000000"/>
              </w:rPr>
            </w:pPr>
          </w:p>
        </w:tc>
        <w:tc>
          <w:tcPr>
            <w:tcW w:w="1532" w:type="dxa"/>
            <w:vMerge w:val="continue"/>
            <w:tcBorders>
              <w:left w:val="single" w:color="auto" w:sz="4" w:space="0"/>
              <w:right w:val="single" w:color="auto" w:sz="4" w:space="0"/>
            </w:tcBorders>
            <w:noWrap w:val="0"/>
            <w:vAlign w:val="center"/>
          </w:tcPr>
          <w:p>
            <w:pPr>
              <w:widowControl/>
              <w:rPr>
                <w:color w:val="000000"/>
              </w:rPr>
            </w:pPr>
          </w:p>
        </w:tc>
        <w:tc>
          <w:tcPr>
            <w:tcW w:w="3402" w:type="dxa"/>
            <w:vMerge w:val="continue"/>
            <w:tcBorders>
              <w:left w:val="single" w:color="auto" w:sz="4" w:space="0"/>
              <w:right w:val="single" w:color="auto" w:sz="4" w:space="0"/>
            </w:tcBorders>
            <w:noWrap w:val="0"/>
            <w:vAlign w:val="center"/>
          </w:tcPr>
          <w:p>
            <w:pPr>
              <w:widowControl/>
              <w:rPr>
                <w:color w:val="000000"/>
              </w:rPr>
            </w:pPr>
          </w:p>
        </w:tc>
        <w:tc>
          <w:tcPr>
            <w:tcW w:w="1101" w:type="dxa"/>
            <w:tcBorders>
              <w:top w:val="single" w:color="auto" w:sz="4" w:space="0"/>
              <w:left w:val="nil"/>
              <w:right w:val="single" w:color="auto" w:sz="4" w:space="0"/>
            </w:tcBorders>
            <w:noWrap/>
            <w:vAlign w:val="center"/>
          </w:tcPr>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hint="eastAsia" w:ascii="inherit" w:hAnsi="inherit"/>
                <w:color w:val="000000"/>
                <w:sz w:val="21"/>
                <w:szCs w:val="21"/>
                <w:lang w:eastAsia="zh-CN"/>
              </w:rPr>
            </w:pPr>
            <w:r>
              <w:rPr>
                <w:rFonts w:hint="eastAsia"/>
                <w:color w:val="000000"/>
              </w:rPr>
              <w:t>张妍</w:t>
            </w:r>
          </w:p>
        </w:tc>
        <w:tc>
          <w:tcPr>
            <w:tcW w:w="1701" w:type="dxa"/>
            <w:tcBorders>
              <w:top w:val="single" w:color="auto" w:sz="4" w:space="0"/>
              <w:left w:val="nil"/>
              <w:bottom w:val="single" w:color="auto" w:sz="4" w:space="0"/>
              <w:right w:val="single" w:color="auto" w:sz="12" w:space="0"/>
            </w:tcBorders>
            <w:noWrap/>
            <w:vAlign w:val="center"/>
          </w:tcPr>
          <w:p>
            <w:pPr>
              <w:jc w:val="center"/>
              <w:rPr>
                <w:color w:val="000000"/>
              </w:rPr>
            </w:pPr>
            <w:r>
              <w:rPr>
                <w:rFonts w:hint="eastAsia"/>
                <w:color w:val="000000"/>
              </w:rPr>
              <w:t>18818203690</w:t>
            </w:r>
          </w:p>
        </w:tc>
        <w:tc>
          <w:tcPr>
            <w:tcW w:w="1557" w:type="dxa"/>
            <w:vMerge w:val="continue"/>
            <w:tcBorders>
              <w:left w:val="nil"/>
              <w:right w:val="single" w:color="auto" w:sz="12" w:space="0"/>
            </w:tcBorders>
            <w:noWrap w:val="0"/>
            <w:vAlign w:val="center"/>
          </w:tcPr>
          <w:p>
            <w:pPr>
              <w:widowControl/>
              <w:jc w:val="center"/>
              <w:rPr>
                <w:rFonts w:hint="eastAsia"/>
                <w:color w:val="000000"/>
              </w:rPr>
            </w:pPr>
          </w:p>
        </w:tc>
        <w:tc>
          <w:tcPr>
            <w:tcW w:w="1134" w:type="dxa"/>
            <w:vMerge w:val="continue"/>
            <w:tcBorders>
              <w:left w:val="nil"/>
              <w:right w:val="single" w:color="auto" w:sz="12" w:space="0"/>
            </w:tcBorders>
            <w:noWrap w:val="0"/>
            <w:vAlign w:val="center"/>
          </w:tcPr>
          <w:p>
            <w:pPr>
              <w:widowControl/>
              <w:jc w:val="center"/>
              <w:rPr>
                <w:rFonts w:hint="eastAsia"/>
                <w:color w:val="000000"/>
              </w:rPr>
            </w:pPr>
          </w:p>
        </w:tc>
      </w:tr>
      <w:tr>
        <w:tblPrEx>
          <w:tblCellMar>
            <w:top w:w="0" w:type="dxa"/>
            <w:left w:w="108" w:type="dxa"/>
            <w:bottom w:w="0" w:type="dxa"/>
            <w:right w:w="108" w:type="dxa"/>
          </w:tblCellMar>
        </w:tblPrEx>
        <w:trPr>
          <w:trHeight w:val="624" w:hRule="atLeast"/>
        </w:trPr>
        <w:tc>
          <w:tcPr>
            <w:tcW w:w="736" w:type="dxa"/>
            <w:vMerge w:val="continue"/>
            <w:tcBorders>
              <w:left w:val="single" w:color="auto" w:sz="12" w:space="0"/>
              <w:bottom w:val="single" w:color="000000" w:sz="12" w:space="0"/>
              <w:right w:val="single" w:color="auto" w:sz="4" w:space="0"/>
            </w:tcBorders>
            <w:noWrap w:val="0"/>
            <w:vAlign w:val="center"/>
          </w:tcPr>
          <w:p>
            <w:pPr>
              <w:widowControl/>
              <w:rPr>
                <w:color w:val="000000"/>
              </w:rPr>
            </w:pPr>
          </w:p>
        </w:tc>
        <w:tc>
          <w:tcPr>
            <w:tcW w:w="1532" w:type="dxa"/>
            <w:vMerge w:val="continue"/>
            <w:tcBorders>
              <w:left w:val="single" w:color="auto" w:sz="4" w:space="0"/>
              <w:bottom w:val="single" w:color="000000" w:sz="12" w:space="0"/>
              <w:right w:val="single" w:color="auto" w:sz="4" w:space="0"/>
            </w:tcBorders>
            <w:noWrap w:val="0"/>
            <w:vAlign w:val="center"/>
          </w:tcPr>
          <w:p>
            <w:pPr>
              <w:widowControl/>
              <w:rPr>
                <w:color w:val="000000"/>
              </w:rPr>
            </w:pPr>
          </w:p>
        </w:tc>
        <w:tc>
          <w:tcPr>
            <w:tcW w:w="3402" w:type="dxa"/>
            <w:vMerge w:val="continue"/>
            <w:tcBorders>
              <w:left w:val="single" w:color="auto" w:sz="4" w:space="0"/>
              <w:bottom w:val="single" w:color="000000" w:sz="12" w:space="0"/>
              <w:right w:val="single" w:color="auto" w:sz="4" w:space="0"/>
            </w:tcBorders>
            <w:noWrap w:val="0"/>
            <w:vAlign w:val="center"/>
          </w:tcPr>
          <w:p>
            <w:pPr>
              <w:widowControl/>
              <w:rPr>
                <w:color w:val="000000"/>
              </w:rPr>
            </w:pPr>
          </w:p>
        </w:tc>
        <w:tc>
          <w:tcPr>
            <w:tcW w:w="1101" w:type="dxa"/>
            <w:tcBorders>
              <w:top w:val="single" w:color="auto" w:sz="4" w:space="0"/>
              <w:left w:val="nil"/>
              <w:right w:val="single" w:color="auto" w:sz="4" w:space="0"/>
            </w:tcBorders>
            <w:noWrap/>
            <w:vAlign w:val="center"/>
          </w:tcPr>
          <w:p>
            <w:pPr>
              <w:jc w:val="center"/>
              <w:rPr>
                <w:color w:val="000000"/>
              </w:rPr>
            </w:pPr>
            <w:r>
              <w:rPr>
                <w:rFonts w:hint="eastAsia"/>
                <w:color w:val="000000"/>
              </w:rPr>
              <w:t>张蓓琦（专柜）</w:t>
            </w:r>
          </w:p>
        </w:tc>
        <w:tc>
          <w:tcPr>
            <w:tcW w:w="1701" w:type="dxa"/>
            <w:tcBorders>
              <w:top w:val="single" w:color="auto" w:sz="4" w:space="0"/>
              <w:left w:val="nil"/>
              <w:bottom w:val="single" w:color="auto" w:sz="12" w:space="0"/>
              <w:right w:val="single" w:color="auto" w:sz="12" w:space="0"/>
            </w:tcBorders>
            <w:noWrap/>
            <w:vAlign w:val="center"/>
          </w:tcPr>
          <w:p>
            <w:pPr>
              <w:jc w:val="center"/>
              <w:rPr>
                <w:color w:val="000000"/>
              </w:rPr>
            </w:pPr>
            <w:r>
              <w:rPr>
                <w:rFonts w:hint="eastAsia"/>
                <w:color w:val="000000"/>
              </w:rPr>
              <w:t>021-50192136</w:t>
            </w:r>
          </w:p>
        </w:tc>
        <w:tc>
          <w:tcPr>
            <w:tcW w:w="1557" w:type="dxa"/>
            <w:vMerge w:val="continue"/>
            <w:tcBorders>
              <w:left w:val="nil"/>
              <w:right w:val="single" w:color="auto" w:sz="12" w:space="0"/>
            </w:tcBorders>
            <w:noWrap w:val="0"/>
            <w:vAlign w:val="center"/>
          </w:tcPr>
          <w:p>
            <w:pPr>
              <w:widowControl/>
              <w:jc w:val="center"/>
              <w:rPr>
                <w:rFonts w:hint="eastAsia"/>
                <w:color w:val="000000"/>
              </w:rPr>
            </w:pPr>
          </w:p>
        </w:tc>
        <w:tc>
          <w:tcPr>
            <w:tcW w:w="1134" w:type="dxa"/>
            <w:vMerge w:val="continue"/>
            <w:tcBorders>
              <w:left w:val="nil"/>
              <w:right w:val="single" w:color="auto" w:sz="12" w:space="0"/>
            </w:tcBorders>
            <w:noWrap w:val="0"/>
            <w:vAlign w:val="center"/>
          </w:tcPr>
          <w:p>
            <w:pPr>
              <w:widowControl/>
              <w:jc w:val="center"/>
              <w:rPr>
                <w:rFonts w:hint="eastAsia"/>
                <w:color w:val="000000"/>
              </w:rPr>
            </w:pPr>
          </w:p>
        </w:tc>
      </w:tr>
      <w:tr>
        <w:tblPrEx>
          <w:tblCellMar>
            <w:top w:w="0" w:type="dxa"/>
            <w:left w:w="108" w:type="dxa"/>
            <w:bottom w:w="0" w:type="dxa"/>
            <w:right w:w="108" w:type="dxa"/>
          </w:tblCellMar>
        </w:tblPrEx>
        <w:trPr>
          <w:trHeight w:val="709" w:hRule="atLeast"/>
        </w:trPr>
        <w:tc>
          <w:tcPr>
            <w:tcW w:w="736" w:type="dxa"/>
            <w:vMerge w:val="restart"/>
            <w:tcBorders>
              <w:top w:val="single" w:color="auto" w:sz="12" w:space="0"/>
              <w:left w:val="single" w:color="auto" w:sz="12" w:space="0"/>
              <w:right w:val="single" w:color="auto" w:sz="4" w:space="0"/>
            </w:tcBorders>
            <w:noWrap w:val="0"/>
            <w:vAlign w:val="center"/>
          </w:tcPr>
          <w:p>
            <w:pPr>
              <w:widowControl/>
              <w:jc w:val="center"/>
              <w:rPr>
                <w:color w:val="000000"/>
              </w:rPr>
            </w:pPr>
            <w:r>
              <w:rPr>
                <w:rFonts w:hint="eastAsia"/>
                <w:color w:val="000000"/>
              </w:rPr>
              <w:t>民生银行</w:t>
            </w:r>
          </w:p>
        </w:tc>
        <w:tc>
          <w:tcPr>
            <w:tcW w:w="1532" w:type="dxa"/>
            <w:vMerge w:val="restart"/>
            <w:tcBorders>
              <w:top w:val="single" w:color="auto" w:sz="12" w:space="0"/>
              <w:left w:val="single" w:color="auto" w:sz="4" w:space="0"/>
              <w:right w:val="single" w:color="auto" w:sz="4" w:space="0"/>
            </w:tcBorders>
            <w:noWrap w:val="0"/>
            <w:vAlign w:val="center"/>
          </w:tcPr>
          <w:p>
            <w:pPr>
              <w:widowControl/>
              <w:jc w:val="center"/>
              <w:rPr>
                <w:color w:val="000000"/>
              </w:rPr>
            </w:pPr>
            <w:r>
              <w:rPr>
                <w:rFonts w:hint="eastAsia"/>
                <w:color w:val="000000"/>
              </w:rPr>
              <w:t>上海期交所支行</w:t>
            </w:r>
          </w:p>
        </w:tc>
        <w:tc>
          <w:tcPr>
            <w:tcW w:w="3402" w:type="dxa"/>
            <w:vMerge w:val="restart"/>
            <w:tcBorders>
              <w:top w:val="single" w:color="auto" w:sz="12" w:space="0"/>
              <w:left w:val="single" w:color="auto" w:sz="4" w:space="0"/>
              <w:right w:val="single" w:color="auto" w:sz="4" w:space="0"/>
            </w:tcBorders>
            <w:noWrap w:val="0"/>
            <w:vAlign w:val="center"/>
          </w:tcPr>
          <w:p>
            <w:pPr>
              <w:widowControl/>
              <w:jc w:val="center"/>
              <w:rPr>
                <w:color w:val="000000"/>
              </w:rPr>
            </w:pPr>
            <w:r>
              <w:rPr>
                <w:rFonts w:hint="eastAsia"/>
                <w:color w:val="000000"/>
              </w:rPr>
              <w:t>上海市浦东新区浦电路</w:t>
            </w:r>
            <w:r>
              <w:rPr>
                <w:color w:val="000000"/>
              </w:rPr>
              <w:t>577号</w:t>
            </w:r>
          </w:p>
        </w:tc>
        <w:tc>
          <w:tcPr>
            <w:tcW w:w="1101" w:type="dxa"/>
            <w:tcBorders>
              <w:top w:val="single" w:color="auto" w:sz="12" w:space="0"/>
              <w:left w:val="single" w:color="auto" w:sz="4" w:space="0"/>
              <w:bottom w:val="single" w:color="auto" w:sz="4" w:space="0"/>
              <w:right w:val="single" w:color="auto" w:sz="4" w:space="0"/>
            </w:tcBorders>
            <w:noWrap/>
            <w:vAlign w:val="center"/>
          </w:tcPr>
          <w:p>
            <w:pPr>
              <w:widowControl/>
              <w:jc w:val="center"/>
              <w:rPr>
                <w:rFonts w:hint="eastAsia"/>
                <w:color w:val="000000"/>
              </w:rPr>
            </w:pPr>
            <w:r>
              <w:rPr>
                <w:rFonts w:hint="eastAsia"/>
                <w:color w:val="000000"/>
              </w:rPr>
              <w:t>专柜电话</w:t>
            </w:r>
          </w:p>
        </w:tc>
        <w:tc>
          <w:tcPr>
            <w:tcW w:w="1701" w:type="dxa"/>
            <w:tcBorders>
              <w:top w:val="single" w:color="auto" w:sz="12" w:space="0"/>
              <w:left w:val="single" w:color="auto" w:sz="4" w:space="0"/>
              <w:bottom w:val="single" w:color="auto" w:sz="4" w:space="0"/>
              <w:right w:val="single" w:color="auto" w:sz="12" w:space="0"/>
            </w:tcBorders>
            <w:noWrap/>
            <w:vAlign w:val="center"/>
          </w:tcPr>
          <w:p>
            <w:pPr>
              <w:widowControl/>
              <w:jc w:val="center"/>
              <w:rPr>
                <w:rFonts w:hint="eastAsia"/>
                <w:color w:val="000000"/>
              </w:rPr>
            </w:pPr>
            <w:r>
              <w:rPr>
                <w:color w:val="000000"/>
              </w:rPr>
              <w:t>021-50125289</w:t>
            </w:r>
          </w:p>
        </w:tc>
        <w:tc>
          <w:tcPr>
            <w:tcW w:w="1557" w:type="dxa"/>
            <w:vMerge w:val="restart"/>
            <w:tcBorders>
              <w:top w:val="single" w:color="auto" w:sz="12" w:space="0"/>
              <w:left w:val="single" w:color="auto" w:sz="12" w:space="0"/>
              <w:bottom w:val="single" w:color="auto" w:sz="12" w:space="0"/>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c>
          <w:tcPr>
            <w:tcW w:w="1134" w:type="dxa"/>
            <w:vMerge w:val="restart"/>
            <w:tcBorders>
              <w:top w:val="single" w:color="auto" w:sz="12" w:space="0"/>
              <w:left w:val="single" w:color="auto" w:sz="4" w:space="0"/>
              <w:right w:val="single" w:color="auto" w:sz="12" w:space="0"/>
            </w:tcBorders>
            <w:noWrap w:val="0"/>
            <w:vAlign w:val="center"/>
          </w:tcPr>
          <w:p>
            <w:pPr>
              <w:widowControl/>
              <w:jc w:val="center"/>
              <w:rPr>
                <w:rFonts w:hint="eastAsia"/>
                <w:color w:val="000000"/>
                <w:lang w:eastAsia="zh-CN"/>
              </w:rPr>
            </w:pPr>
            <w:r>
              <w:rPr>
                <w:rFonts w:hint="eastAsia"/>
                <w:color w:val="000000"/>
                <w:lang w:eastAsia="zh-CN"/>
              </w:rPr>
              <w:t>不支持</w:t>
            </w:r>
          </w:p>
        </w:tc>
      </w:tr>
      <w:tr>
        <w:tblPrEx>
          <w:tblCellMar>
            <w:top w:w="0" w:type="dxa"/>
            <w:left w:w="108" w:type="dxa"/>
            <w:bottom w:w="0" w:type="dxa"/>
            <w:right w:w="108" w:type="dxa"/>
          </w:tblCellMar>
        </w:tblPrEx>
        <w:trPr>
          <w:trHeight w:val="709" w:hRule="atLeast"/>
        </w:trPr>
        <w:tc>
          <w:tcPr>
            <w:tcW w:w="736" w:type="dxa"/>
            <w:vMerge w:val="continue"/>
            <w:tcBorders>
              <w:left w:val="single" w:color="auto" w:sz="12" w:space="0"/>
              <w:right w:val="single" w:color="auto" w:sz="4" w:space="0"/>
            </w:tcBorders>
            <w:noWrap w:val="0"/>
            <w:vAlign w:val="center"/>
          </w:tcPr>
          <w:p>
            <w:pPr>
              <w:widowControl/>
              <w:jc w:val="center"/>
              <w:rPr>
                <w:color w:val="000000"/>
              </w:rPr>
            </w:pPr>
          </w:p>
        </w:tc>
        <w:tc>
          <w:tcPr>
            <w:tcW w:w="1532" w:type="dxa"/>
            <w:vMerge w:val="continue"/>
            <w:tcBorders>
              <w:left w:val="single" w:color="auto" w:sz="4" w:space="0"/>
              <w:right w:val="single" w:color="auto" w:sz="4" w:space="0"/>
            </w:tcBorders>
            <w:noWrap w:val="0"/>
            <w:vAlign w:val="center"/>
          </w:tcPr>
          <w:p>
            <w:pPr>
              <w:widowControl/>
              <w:jc w:val="center"/>
              <w:rPr>
                <w:color w:val="000000"/>
              </w:rPr>
            </w:pPr>
          </w:p>
        </w:tc>
        <w:tc>
          <w:tcPr>
            <w:tcW w:w="3402" w:type="dxa"/>
            <w:vMerge w:val="continue"/>
            <w:tcBorders>
              <w:left w:val="single" w:color="auto" w:sz="4" w:space="0"/>
              <w:right w:val="single" w:color="auto" w:sz="4" w:space="0"/>
            </w:tcBorders>
            <w:noWrap w:val="0"/>
            <w:vAlign w:val="center"/>
          </w:tcPr>
          <w:p>
            <w:pPr>
              <w:widowControl/>
              <w:jc w:val="center"/>
              <w:rPr>
                <w:color w:val="000000"/>
              </w:rPr>
            </w:pPr>
          </w:p>
        </w:tc>
        <w:tc>
          <w:tcPr>
            <w:tcW w:w="1101" w:type="dxa"/>
            <w:tcBorders>
              <w:top w:val="single" w:color="auto" w:sz="4" w:space="0"/>
              <w:left w:val="single" w:color="auto" w:sz="4" w:space="0"/>
              <w:bottom w:val="single" w:color="auto" w:sz="4" w:space="0"/>
              <w:right w:val="single" w:color="auto" w:sz="4" w:space="0"/>
            </w:tcBorders>
            <w:noWrap/>
            <w:vAlign w:val="center"/>
          </w:tcPr>
          <w:p>
            <w:pPr>
              <w:jc w:val="center"/>
              <w:rPr>
                <w:color w:val="000000"/>
              </w:rPr>
            </w:pPr>
            <w:r>
              <w:rPr>
                <w:rFonts w:hint="eastAsia"/>
                <w:color w:val="000000"/>
              </w:rPr>
              <w:t>邵珉磊</w:t>
            </w:r>
          </w:p>
        </w:tc>
        <w:tc>
          <w:tcPr>
            <w:tcW w:w="1701" w:type="dxa"/>
            <w:tcBorders>
              <w:top w:val="single" w:color="auto" w:sz="4" w:space="0"/>
              <w:left w:val="single" w:color="auto" w:sz="4" w:space="0"/>
              <w:bottom w:val="single" w:color="auto" w:sz="4" w:space="0"/>
              <w:right w:val="single" w:color="auto" w:sz="12" w:space="0"/>
            </w:tcBorders>
            <w:noWrap/>
            <w:vAlign w:val="center"/>
          </w:tcPr>
          <w:p>
            <w:pPr>
              <w:jc w:val="center"/>
              <w:rPr>
                <w:color w:val="000000"/>
              </w:rPr>
            </w:pPr>
            <w:r>
              <w:rPr>
                <w:color w:val="000000"/>
              </w:rPr>
              <w:t>021-50125201</w:t>
            </w:r>
          </w:p>
          <w:p>
            <w:pPr>
              <w:jc w:val="center"/>
              <w:rPr>
                <w:color w:val="000000"/>
              </w:rPr>
            </w:pPr>
            <w:r>
              <w:rPr>
                <w:color w:val="000000"/>
              </w:rPr>
              <w:t>13917818265</w:t>
            </w:r>
          </w:p>
        </w:tc>
        <w:tc>
          <w:tcPr>
            <w:tcW w:w="1557" w:type="dxa"/>
            <w:vMerge w:val="continue"/>
            <w:tcBorders>
              <w:left w:val="single" w:color="auto" w:sz="12" w:space="0"/>
              <w:bottom w:val="single" w:color="auto" w:sz="12" w:space="0"/>
              <w:right w:val="single" w:color="auto" w:sz="12" w:space="0"/>
            </w:tcBorders>
            <w:noWrap w:val="0"/>
            <w:vAlign w:val="center"/>
          </w:tcPr>
          <w:p>
            <w:pPr>
              <w:widowControl/>
              <w:jc w:val="center"/>
              <w:rPr>
                <w:rFonts w:hint="eastAsia"/>
                <w:color w:val="000000"/>
              </w:rPr>
            </w:pPr>
          </w:p>
        </w:tc>
        <w:tc>
          <w:tcPr>
            <w:tcW w:w="1134" w:type="dxa"/>
            <w:vMerge w:val="continue"/>
            <w:tcBorders>
              <w:left w:val="single" w:color="auto" w:sz="4" w:space="0"/>
              <w:right w:val="single" w:color="auto" w:sz="12" w:space="0"/>
            </w:tcBorders>
            <w:noWrap w:val="0"/>
            <w:vAlign w:val="top"/>
          </w:tcPr>
          <w:p>
            <w:pPr>
              <w:widowControl/>
              <w:jc w:val="center"/>
              <w:rPr>
                <w:rFonts w:hint="eastAsia"/>
                <w:color w:val="000000"/>
              </w:rPr>
            </w:pPr>
          </w:p>
        </w:tc>
      </w:tr>
      <w:tr>
        <w:tblPrEx>
          <w:tblCellMar>
            <w:top w:w="0" w:type="dxa"/>
            <w:left w:w="108" w:type="dxa"/>
            <w:bottom w:w="0" w:type="dxa"/>
            <w:right w:w="108" w:type="dxa"/>
          </w:tblCellMar>
        </w:tblPrEx>
        <w:trPr>
          <w:trHeight w:val="709" w:hRule="atLeast"/>
        </w:trPr>
        <w:tc>
          <w:tcPr>
            <w:tcW w:w="736" w:type="dxa"/>
            <w:vMerge w:val="continue"/>
            <w:tcBorders>
              <w:left w:val="single" w:color="auto" w:sz="12" w:space="0"/>
              <w:bottom w:val="single" w:color="auto" w:sz="12" w:space="0"/>
              <w:right w:val="single" w:color="auto" w:sz="4" w:space="0"/>
            </w:tcBorders>
            <w:noWrap w:val="0"/>
            <w:vAlign w:val="center"/>
          </w:tcPr>
          <w:p>
            <w:pPr>
              <w:widowControl/>
              <w:jc w:val="center"/>
              <w:rPr>
                <w:color w:val="000000"/>
              </w:rPr>
            </w:pPr>
          </w:p>
        </w:tc>
        <w:tc>
          <w:tcPr>
            <w:tcW w:w="1532" w:type="dxa"/>
            <w:vMerge w:val="continue"/>
            <w:tcBorders>
              <w:left w:val="single" w:color="auto" w:sz="4" w:space="0"/>
              <w:bottom w:val="single" w:color="auto" w:sz="12" w:space="0"/>
              <w:right w:val="single" w:color="auto" w:sz="4" w:space="0"/>
            </w:tcBorders>
            <w:noWrap w:val="0"/>
            <w:vAlign w:val="center"/>
          </w:tcPr>
          <w:p>
            <w:pPr>
              <w:widowControl/>
              <w:jc w:val="center"/>
              <w:rPr>
                <w:color w:val="000000"/>
              </w:rPr>
            </w:pPr>
          </w:p>
        </w:tc>
        <w:tc>
          <w:tcPr>
            <w:tcW w:w="3402" w:type="dxa"/>
            <w:vMerge w:val="continue"/>
            <w:tcBorders>
              <w:left w:val="single" w:color="auto" w:sz="4" w:space="0"/>
              <w:bottom w:val="single" w:color="auto" w:sz="12" w:space="0"/>
              <w:right w:val="single" w:color="auto" w:sz="4" w:space="0"/>
            </w:tcBorders>
            <w:noWrap w:val="0"/>
            <w:vAlign w:val="center"/>
          </w:tcPr>
          <w:p>
            <w:pPr>
              <w:widowControl/>
              <w:jc w:val="center"/>
              <w:rPr>
                <w:color w:val="000000"/>
              </w:rPr>
            </w:pPr>
          </w:p>
        </w:tc>
        <w:tc>
          <w:tcPr>
            <w:tcW w:w="1101" w:type="dxa"/>
            <w:tcBorders>
              <w:top w:val="single" w:color="auto" w:sz="4" w:space="0"/>
              <w:left w:val="single" w:color="auto" w:sz="4" w:space="0"/>
              <w:bottom w:val="single" w:color="auto" w:sz="12" w:space="0"/>
              <w:right w:val="single" w:color="auto" w:sz="4" w:space="0"/>
            </w:tcBorders>
            <w:noWrap/>
            <w:vAlign w:val="center"/>
          </w:tcPr>
          <w:p>
            <w:pPr>
              <w:widowControl/>
              <w:jc w:val="center"/>
              <w:rPr>
                <w:rFonts w:hint="eastAsia"/>
                <w:color w:val="000000"/>
              </w:rPr>
            </w:pPr>
            <w:r>
              <w:rPr>
                <w:rFonts w:hint="eastAsia"/>
                <w:color w:val="000000"/>
              </w:rPr>
              <w:t>万淳</w:t>
            </w:r>
          </w:p>
        </w:tc>
        <w:tc>
          <w:tcPr>
            <w:tcW w:w="1701" w:type="dxa"/>
            <w:tcBorders>
              <w:top w:val="single" w:color="auto" w:sz="4" w:space="0"/>
              <w:left w:val="single" w:color="auto" w:sz="4" w:space="0"/>
              <w:bottom w:val="single" w:color="auto" w:sz="12" w:space="0"/>
              <w:right w:val="single" w:color="auto" w:sz="12" w:space="0"/>
            </w:tcBorders>
            <w:noWrap/>
            <w:vAlign w:val="center"/>
          </w:tcPr>
          <w:p>
            <w:pPr>
              <w:widowControl/>
              <w:jc w:val="center"/>
              <w:rPr>
                <w:color w:val="000000"/>
              </w:rPr>
            </w:pPr>
            <w:r>
              <w:rPr>
                <w:color w:val="000000"/>
              </w:rPr>
              <w:t>021-50125206</w:t>
            </w:r>
          </w:p>
          <w:p>
            <w:pPr>
              <w:widowControl/>
              <w:jc w:val="center"/>
              <w:rPr>
                <w:rFonts w:hint="eastAsia"/>
                <w:color w:val="000000"/>
              </w:rPr>
            </w:pPr>
            <w:r>
              <w:rPr>
                <w:color w:val="000000"/>
              </w:rPr>
              <w:t>18621563090</w:t>
            </w:r>
          </w:p>
        </w:tc>
        <w:tc>
          <w:tcPr>
            <w:tcW w:w="1557" w:type="dxa"/>
            <w:vMerge w:val="continue"/>
            <w:tcBorders>
              <w:left w:val="single" w:color="auto" w:sz="12" w:space="0"/>
              <w:bottom w:val="single" w:color="auto" w:sz="12" w:space="0"/>
              <w:right w:val="single" w:color="auto" w:sz="12" w:space="0"/>
            </w:tcBorders>
            <w:noWrap w:val="0"/>
            <w:vAlign w:val="center"/>
          </w:tcPr>
          <w:p>
            <w:pPr>
              <w:widowControl/>
              <w:jc w:val="center"/>
              <w:rPr>
                <w:rFonts w:hint="eastAsia"/>
                <w:color w:val="000000"/>
              </w:rPr>
            </w:pPr>
          </w:p>
        </w:tc>
        <w:tc>
          <w:tcPr>
            <w:tcW w:w="1134" w:type="dxa"/>
            <w:vMerge w:val="continue"/>
            <w:tcBorders>
              <w:left w:val="single" w:color="auto" w:sz="4" w:space="0"/>
              <w:bottom w:val="single" w:color="auto" w:sz="12" w:space="0"/>
              <w:right w:val="single" w:color="auto" w:sz="12" w:space="0"/>
            </w:tcBorders>
            <w:noWrap w:val="0"/>
            <w:vAlign w:val="top"/>
          </w:tcPr>
          <w:p>
            <w:pPr>
              <w:widowControl/>
              <w:jc w:val="center"/>
              <w:rPr>
                <w:rFonts w:hint="eastAsia"/>
                <w:color w:val="000000"/>
              </w:rPr>
            </w:pPr>
          </w:p>
        </w:tc>
      </w:tr>
    </w:tbl>
    <w:p>
      <w:pPr>
        <w:rPr>
          <w:rFonts w:ascii="仿宋" w:hAnsi="仿宋" w:eastAsia="仿宋"/>
          <w:b/>
          <w:bCs/>
          <w:sz w:val="24"/>
          <w:szCs w:val="24"/>
          <w:lang w:eastAsia="zh-CN"/>
        </w:rPr>
      </w:pPr>
    </w:p>
    <w:p>
      <w:pPr>
        <w:rPr>
          <w:rFonts w:ascii="仿宋" w:hAnsi="仿宋" w:eastAsia="仿宋"/>
          <w:b/>
          <w:bCs/>
          <w:sz w:val="24"/>
          <w:szCs w:val="24"/>
          <w:lang w:eastAsia="zh-CN"/>
        </w:rPr>
      </w:pPr>
    </w:p>
    <w:p>
      <w:pPr>
        <w:rPr>
          <w:rFonts w:hint="eastAsia" w:ascii="仿宋" w:hAnsi="仿宋" w:eastAsia="仿宋"/>
          <w:b/>
          <w:bCs/>
          <w:sz w:val="24"/>
          <w:szCs w:val="24"/>
          <w:lang w:eastAsia="zh-CN"/>
        </w:rPr>
      </w:pPr>
    </w:p>
    <w:p>
      <w:pPr>
        <w:rPr>
          <w:rFonts w:ascii="仿宋" w:hAnsi="仿宋" w:eastAsia="仿宋"/>
          <w:sz w:val="24"/>
          <w:szCs w:val="24"/>
          <w:lang w:eastAsia="zh-CN"/>
        </w:rPr>
      </w:pPr>
      <w:r>
        <w:rPr>
          <w:rFonts w:hint="eastAsia" w:ascii="仿宋" w:hAnsi="仿宋" w:eastAsia="仿宋"/>
          <w:b/>
          <w:bCs/>
          <w:sz w:val="24"/>
          <w:szCs w:val="24"/>
          <w:lang w:eastAsia="zh-CN"/>
        </w:rPr>
        <w:t>备注：1、工行</w:t>
      </w:r>
      <w:r>
        <w:rPr>
          <w:rFonts w:ascii="仿宋" w:hAnsi="仿宋" w:eastAsia="仿宋"/>
          <w:b/>
          <w:bCs/>
          <w:sz w:val="24"/>
          <w:szCs w:val="24"/>
          <w:lang w:eastAsia="zh-CN"/>
        </w:rPr>
        <w:t>、农行、交行</w:t>
      </w:r>
      <w:r>
        <w:rPr>
          <w:rFonts w:hint="eastAsia" w:ascii="仿宋" w:hAnsi="仿宋" w:eastAsia="仿宋"/>
          <w:bCs/>
          <w:sz w:val="24"/>
          <w:szCs w:val="24"/>
          <w:lang w:eastAsia="zh-CN"/>
        </w:rPr>
        <w:t>：</w:t>
      </w:r>
      <w:r>
        <w:rPr>
          <w:rFonts w:hint="eastAsia" w:ascii="仿宋" w:hAnsi="仿宋" w:eastAsia="仿宋"/>
          <w:sz w:val="24"/>
          <w:szCs w:val="24"/>
          <w:lang w:eastAsia="zh-CN"/>
        </w:rPr>
        <w:t>全市网点可以开户和签约，签约后的回执由</w:t>
      </w:r>
      <w:r>
        <w:rPr>
          <w:rFonts w:ascii="仿宋" w:hAnsi="仿宋" w:eastAsia="仿宋"/>
          <w:sz w:val="24"/>
          <w:szCs w:val="24"/>
          <w:lang w:eastAsia="zh-CN"/>
        </w:rPr>
        <w:t>银行</w:t>
      </w:r>
      <w:r>
        <w:rPr>
          <w:rFonts w:hint="eastAsia" w:ascii="仿宋" w:hAnsi="仿宋" w:eastAsia="仿宋"/>
          <w:sz w:val="24"/>
          <w:szCs w:val="24"/>
          <w:lang w:eastAsia="zh-CN"/>
        </w:rPr>
        <w:t>统一汇总到期货</w:t>
      </w:r>
    </w:p>
    <w:p>
      <w:pPr>
        <w:rPr>
          <w:lang w:eastAsia="zh-CN"/>
        </w:rPr>
      </w:pPr>
      <w:r>
        <w:rPr>
          <w:rFonts w:hint="eastAsia" w:ascii="仿宋" w:hAnsi="仿宋" w:eastAsia="仿宋"/>
          <w:sz w:val="24"/>
          <w:szCs w:val="24"/>
          <w:lang w:eastAsia="zh-CN"/>
        </w:rPr>
        <w:t>支行再给平台维护。</w:t>
      </w:r>
      <w:r>
        <w:rPr>
          <w:rFonts w:hint="eastAsia" w:ascii="仿宋" w:hAnsi="仿宋" w:eastAsia="仿宋"/>
          <w:b/>
          <w:sz w:val="24"/>
          <w:szCs w:val="24"/>
          <w:lang w:eastAsia="zh-CN"/>
        </w:rPr>
        <w:t>建行</w:t>
      </w:r>
      <w:r>
        <w:rPr>
          <w:rFonts w:ascii="仿宋" w:hAnsi="仿宋" w:eastAsia="仿宋"/>
          <w:b/>
          <w:sz w:val="24"/>
          <w:szCs w:val="24"/>
          <w:lang w:eastAsia="zh-CN"/>
        </w:rPr>
        <w:t>、中行</w:t>
      </w:r>
      <w:r>
        <w:rPr>
          <w:rFonts w:hint="eastAsia" w:ascii="仿宋" w:hAnsi="仿宋" w:eastAsia="仿宋"/>
          <w:b/>
          <w:sz w:val="24"/>
          <w:szCs w:val="24"/>
          <w:lang w:eastAsia="zh-CN"/>
        </w:rPr>
        <w:t>：</w:t>
      </w:r>
      <w:r>
        <w:rPr>
          <w:rFonts w:hint="eastAsia" w:ascii="仿宋" w:hAnsi="仿宋" w:eastAsia="仿宋"/>
          <w:sz w:val="24"/>
          <w:szCs w:val="24"/>
          <w:lang w:eastAsia="zh-CN"/>
        </w:rPr>
        <w:t>全市网点可以开户，但签约只能到期货支行，银行内部流转“平台存管银行账户签约专用通知书”至期货支行办理，客户不用去柜台办理。</w:t>
      </w:r>
      <w:r>
        <w:rPr>
          <w:rFonts w:hint="eastAsia" w:ascii="仿宋" w:hAnsi="仿宋" w:eastAsia="仿宋"/>
          <w:b/>
          <w:sz w:val="24"/>
          <w:szCs w:val="24"/>
          <w:lang w:eastAsia="zh-CN"/>
        </w:rPr>
        <w:t>2、</w:t>
      </w:r>
      <w:r>
        <w:rPr>
          <w:rFonts w:hint="eastAsia" w:ascii="仿宋" w:hAnsi="仿宋" w:eastAsia="仿宋"/>
          <w:sz w:val="24"/>
          <w:szCs w:val="24"/>
          <w:lang w:eastAsia="zh-CN"/>
        </w:rPr>
        <w:t>交易商</w:t>
      </w:r>
      <w:r>
        <w:rPr>
          <w:rFonts w:ascii="仿宋" w:hAnsi="仿宋" w:eastAsia="仿宋"/>
          <w:sz w:val="24"/>
          <w:szCs w:val="24"/>
          <w:lang w:eastAsia="zh-CN"/>
        </w:rPr>
        <w:t>如</w:t>
      </w:r>
      <w:r>
        <w:rPr>
          <w:rFonts w:hint="eastAsia" w:ascii="仿宋" w:hAnsi="仿宋" w:eastAsia="仿宋"/>
          <w:sz w:val="24"/>
          <w:szCs w:val="24"/>
          <w:lang w:eastAsia="zh-CN"/>
        </w:rPr>
        <w:t>已</w:t>
      </w:r>
      <w:r>
        <w:rPr>
          <w:rFonts w:ascii="仿宋" w:hAnsi="仿宋" w:eastAsia="仿宋"/>
          <w:sz w:val="24"/>
          <w:szCs w:val="24"/>
          <w:lang w:eastAsia="zh-CN"/>
        </w:rPr>
        <w:t>在上述网点开过户，可以直接办理签约</w:t>
      </w:r>
      <w:r>
        <w:rPr>
          <w:rFonts w:hint="eastAsia" w:ascii="仿宋" w:hAnsi="仿宋" w:eastAsia="仿宋"/>
          <w:sz w:val="24"/>
          <w:szCs w:val="24"/>
          <w:lang w:eastAsia="zh-CN"/>
        </w:rPr>
        <w:t>（工</w:t>
      </w:r>
      <w:r>
        <w:rPr>
          <w:rFonts w:ascii="仿宋" w:hAnsi="仿宋" w:eastAsia="仿宋"/>
          <w:sz w:val="24"/>
          <w:szCs w:val="24"/>
          <w:lang w:eastAsia="zh-CN"/>
        </w:rPr>
        <w:t>、农、交由开户</w:t>
      </w:r>
      <w:r>
        <w:rPr>
          <w:rFonts w:hint="eastAsia" w:ascii="仿宋" w:hAnsi="仿宋" w:eastAsia="仿宋"/>
          <w:sz w:val="24"/>
          <w:szCs w:val="24"/>
          <w:lang w:eastAsia="zh-CN"/>
        </w:rPr>
        <w:t>网点办理</w:t>
      </w:r>
      <w:r>
        <w:rPr>
          <w:rFonts w:ascii="仿宋" w:hAnsi="仿宋" w:eastAsia="仿宋"/>
          <w:sz w:val="24"/>
          <w:szCs w:val="24"/>
          <w:lang w:eastAsia="zh-CN"/>
        </w:rPr>
        <w:t>签约、建、中由期货支行</w:t>
      </w:r>
      <w:r>
        <w:rPr>
          <w:rFonts w:hint="eastAsia" w:ascii="仿宋" w:hAnsi="仿宋" w:eastAsia="仿宋"/>
          <w:sz w:val="24"/>
          <w:szCs w:val="24"/>
          <w:lang w:eastAsia="zh-CN"/>
        </w:rPr>
        <w:t>办理</w:t>
      </w:r>
      <w:r>
        <w:rPr>
          <w:rFonts w:ascii="仿宋" w:hAnsi="仿宋" w:eastAsia="仿宋"/>
          <w:sz w:val="24"/>
          <w:szCs w:val="24"/>
          <w:lang w:eastAsia="zh-CN"/>
        </w:rPr>
        <w:t>签约</w:t>
      </w:r>
      <w:r>
        <w:rPr>
          <w:rFonts w:hint="eastAsia" w:ascii="仿宋" w:hAnsi="仿宋" w:eastAsia="仿宋"/>
          <w:sz w:val="24"/>
          <w:szCs w:val="24"/>
          <w:lang w:eastAsia="zh-CN"/>
        </w:rPr>
        <w:t>）</w:t>
      </w:r>
      <w:r>
        <w:rPr>
          <w:rFonts w:ascii="仿宋" w:hAnsi="仿宋" w:eastAsia="仿宋"/>
          <w:sz w:val="24"/>
          <w:szCs w:val="24"/>
          <w:lang w:eastAsia="zh-CN"/>
        </w:rPr>
        <w:t>。</w:t>
      </w:r>
      <w:r>
        <w:rPr>
          <w:rFonts w:hint="eastAsia" w:ascii="仿宋" w:hAnsi="仿宋" w:eastAsia="仿宋"/>
          <w:sz w:val="24"/>
          <w:szCs w:val="24"/>
          <w:lang w:eastAsia="zh-CN"/>
        </w:rPr>
        <w:t>3、</w:t>
      </w:r>
      <w:r>
        <w:rPr>
          <w:rFonts w:ascii="仿宋" w:hAnsi="仿宋" w:eastAsia="仿宋"/>
          <w:sz w:val="24"/>
          <w:szCs w:val="24"/>
          <w:lang w:eastAsia="zh-CN"/>
        </w:rPr>
        <w:t>“</w:t>
      </w:r>
      <w:r>
        <w:rPr>
          <w:rFonts w:hint="eastAsia" w:ascii="仿宋" w:hAnsi="仿宋" w:eastAsia="仿宋"/>
          <w:sz w:val="24"/>
          <w:szCs w:val="24"/>
          <w:lang w:eastAsia="zh-CN"/>
        </w:rPr>
        <w:t>一对</w:t>
      </w:r>
      <w:r>
        <w:rPr>
          <w:rFonts w:ascii="仿宋" w:hAnsi="仿宋" w:eastAsia="仿宋"/>
          <w:sz w:val="24"/>
          <w:szCs w:val="24"/>
          <w:lang w:eastAsia="zh-CN"/>
        </w:rPr>
        <w:t>多”</w:t>
      </w:r>
      <w:r>
        <w:rPr>
          <w:rFonts w:hint="eastAsia" w:ascii="仿宋" w:hAnsi="仿宋" w:eastAsia="仿宋"/>
          <w:sz w:val="24"/>
          <w:szCs w:val="24"/>
          <w:lang w:eastAsia="zh-CN"/>
        </w:rPr>
        <w:t>签约</w:t>
      </w:r>
      <w:r>
        <w:rPr>
          <w:rFonts w:ascii="仿宋" w:hAnsi="仿宋" w:eastAsia="仿宋"/>
          <w:sz w:val="24"/>
          <w:szCs w:val="24"/>
          <w:lang w:eastAsia="zh-CN"/>
        </w:rPr>
        <w:t>指：</w:t>
      </w:r>
      <w:r>
        <w:rPr>
          <w:rFonts w:hint="eastAsia" w:ascii="仿宋" w:hAnsi="仿宋" w:eastAsia="仿宋"/>
          <w:sz w:val="24"/>
          <w:szCs w:val="24"/>
          <w:lang w:eastAsia="zh-CN"/>
        </w:rPr>
        <w:t>一个</w:t>
      </w:r>
      <w:r>
        <w:rPr>
          <w:rFonts w:ascii="仿宋" w:hAnsi="仿宋" w:eastAsia="仿宋"/>
          <w:sz w:val="24"/>
          <w:szCs w:val="24"/>
          <w:lang w:eastAsia="zh-CN"/>
        </w:rPr>
        <w:t>平台</w:t>
      </w:r>
      <w:r>
        <w:rPr>
          <w:rFonts w:hint="eastAsia" w:ascii="仿宋" w:hAnsi="仿宋" w:eastAsia="仿宋"/>
          <w:sz w:val="24"/>
          <w:szCs w:val="24"/>
          <w:lang w:eastAsia="zh-CN"/>
        </w:rPr>
        <w:t>客户如既是</w:t>
      </w:r>
      <w:r>
        <w:rPr>
          <w:rFonts w:ascii="仿宋" w:hAnsi="仿宋" w:eastAsia="仿宋"/>
          <w:sz w:val="24"/>
          <w:szCs w:val="24"/>
          <w:lang w:eastAsia="zh-CN"/>
        </w:rPr>
        <w:t>交易商、又是仓库</w:t>
      </w:r>
      <w:r>
        <w:rPr>
          <w:rFonts w:hint="eastAsia" w:ascii="仿宋" w:hAnsi="仿宋" w:eastAsia="仿宋"/>
          <w:sz w:val="24"/>
          <w:szCs w:val="24"/>
          <w:lang w:eastAsia="zh-CN"/>
        </w:rPr>
        <w:t>或（</w:t>
      </w:r>
      <w:r>
        <w:rPr>
          <w:rFonts w:ascii="仿宋" w:hAnsi="仿宋" w:eastAsia="仿宋"/>
          <w:sz w:val="24"/>
          <w:szCs w:val="24"/>
          <w:lang w:eastAsia="zh-CN"/>
        </w:rPr>
        <w:t>和</w:t>
      </w:r>
      <w:r>
        <w:rPr>
          <w:rFonts w:hint="eastAsia" w:ascii="仿宋" w:hAnsi="仿宋" w:eastAsia="仿宋"/>
          <w:sz w:val="24"/>
          <w:szCs w:val="24"/>
          <w:lang w:eastAsia="zh-CN"/>
        </w:rPr>
        <w:t>）厂库</w:t>
      </w:r>
      <w:r>
        <w:rPr>
          <w:rFonts w:ascii="仿宋" w:hAnsi="仿宋" w:eastAsia="仿宋"/>
          <w:sz w:val="24"/>
          <w:szCs w:val="24"/>
          <w:lang w:eastAsia="zh-CN"/>
        </w:rPr>
        <w:t>的可以</w:t>
      </w:r>
      <w:r>
        <w:rPr>
          <w:rFonts w:hint="eastAsia" w:ascii="仿宋" w:hAnsi="仿宋" w:eastAsia="仿宋"/>
          <w:sz w:val="24"/>
          <w:szCs w:val="24"/>
          <w:lang w:eastAsia="zh-CN"/>
        </w:rPr>
        <w:t>用</w:t>
      </w:r>
      <w:r>
        <w:rPr>
          <w:rFonts w:ascii="仿宋" w:hAnsi="仿宋" w:eastAsia="仿宋"/>
          <w:sz w:val="24"/>
          <w:szCs w:val="24"/>
          <w:lang w:eastAsia="zh-CN"/>
        </w:rPr>
        <w:t>一个账户进行多个</w:t>
      </w:r>
      <w:r>
        <w:rPr>
          <w:rFonts w:hint="eastAsia" w:ascii="仿宋" w:hAnsi="仿宋" w:eastAsia="仿宋"/>
          <w:sz w:val="24"/>
          <w:szCs w:val="24"/>
          <w:lang w:eastAsia="zh-CN"/>
        </w:rPr>
        <w:t>平台</w:t>
      </w:r>
      <w:r>
        <w:rPr>
          <w:rFonts w:ascii="仿宋" w:hAnsi="仿宋" w:eastAsia="仿宋"/>
          <w:sz w:val="24"/>
          <w:szCs w:val="24"/>
          <w:lang w:eastAsia="zh-CN"/>
        </w:rPr>
        <w:t>资金账户的签约</w:t>
      </w:r>
      <w:r>
        <w:rPr>
          <w:rFonts w:hint="eastAsia" w:ascii="仿宋" w:hAnsi="仿宋" w:eastAsia="仿宋"/>
          <w:sz w:val="24"/>
          <w:szCs w:val="24"/>
          <w:lang w:eastAsia="zh-CN"/>
        </w:rPr>
        <w:t>。</w:t>
      </w:r>
    </w:p>
    <w:sectPr>
      <w:headerReference r:id="rId3" w:type="default"/>
      <w:pgSz w:w="11910" w:h="16840"/>
      <w:pgMar w:top="1200" w:right="620" w:bottom="280" w:left="1140" w:header="1014"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简体">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仿宋">
    <w:altName w:val="宋体"/>
    <w:panose1 w:val="02010609060101010101"/>
    <w:charset w:val="00"/>
    <w:family w:val="modern"/>
    <w:pitch w:val="default"/>
    <w:sig w:usb0="00000000" w:usb1="00000000" w:usb2="00000016" w:usb3="00000000" w:csb0="00040001" w:csb1="00000000"/>
  </w:font>
  <w:font w:name="inherit">
    <w:altName w:val="Times New Roman"/>
    <w:panose1 w:val="00000000000000000000"/>
    <w:charset w:val="00"/>
    <w:family w:val="roman"/>
    <w:pitch w:val="default"/>
    <w:sig w:usb0="00000000"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lang w:eastAsia="zh-CN"/>
      </w:rPr>
      <w:pict>
        <v:line id="Line 1" o:spid="_x0000_s2049" o:spt="20" style="position:absolute;left:0pt;margin-left:88.6pt;margin-top:60.35pt;height:0pt;width:418.25pt;mso-position-horizontal-relative:page;mso-position-vertical-relative:page;z-index:-25165721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WNbEgIAACg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">
          <v:path arrowok="t"/>
          <v:fill focussize="0,0"/>
          <v:stroke weight="0.72pt"/>
          <v:imagedata o:title=""/>
          <o:lock v:ext="edit"/>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4C087D"/>
    <w:multiLevelType w:val="multilevel"/>
    <w:tmpl w:val="4A4C087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DB5794"/>
    <w:rsid w:val="0000309A"/>
    <w:rsid w:val="00006AB9"/>
    <w:rsid w:val="00087299"/>
    <w:rsid w:val="000A4ABC"/>
    <w:rsid w:val="000C3C5D"/>
    <w:rsid w:val="000D1D27"/>
    <w:rsid w:val="000D528B"/>
    <w:rsid w:val="000D5F57"/>
    <w:rsid w:val="00157ECB"/>
    <w:rsid w:val="00175988"/>
    <w:rsid w:val="001979B7"/>
    <w:rsid w:val="001A2CE8"/>
    <w:rsid w:val="001A42DC"/>
    <w:rsid w:val="00201582"/>
    <w:rsid w:val="002654D4"/>
    <w:rsid w:val="0026742E"/>
    <w:rsid w:val="0027327E"/>
    <w:rsid w:val="002778E0"/>
    <w:rsid w:val="00280057"/>
    <w:rsid w:val="00286BEF"/>
    <w:rsid w:val="00294DF9"/>
    <w:rsid w:val="002A125F"/>
    <w:rsid w:val="002B01C5"/>
    <w:rsid w:val="002C0D8C"/>
    <w:rsid w:val="002D2768"/>
    <w:rsid w:val="002D5E10"/>
    <w:rsid w:val="002E26BD"/>
    <w:rsid w:val="00337A45"/>
    <w:rsid w:val="00340459"/>
    <w:rsid w:val="00360AE9"/>
    <w:rsid w:val="00364E0F"/>
    <w:rsid w:val="00367D22"/>
    <w:rsid w:val="00370350"/>
    <w:rsid w:val="0037052B"/>
    <w:rsid w:val="00394B8A"/>
    <w:rsid w:val="003A1141"/>
    <w:rsid w:val="003C6635"/>
    <w:rsid w:val="004007A3"/>
    <w:rsid w:val="00426977"/>
    <w:rsid w:val="00426E66"/>
    <w:rsid w:val="00427916"/>
    <w:rsid w:val="00462592"/>
    <w:rsid w:val="00466289"/>
    <w:rsid w:val="004A0D0E"/>
    <w:rsid w:val="004A35FF"/>
    <w:rsid w:val="004A5BAE"/>
    <w:rsid w:val="004B737E"/>
    <w:rsid w:val="004D1ED4"/>
    <w:rsid w:val="004E0726"/>
    <w:rsid w:val="00506134"/>
    <w:rsid w:val="005210E5"/>
    <w:rsid w:val="00526000"/>
    <w:rsid w:val="00531EA6"/>
    <w:rsid w:val="00533E2F"/>
    <w:rsid w:val="00557452"/>
    <w:rsid w:val="00570EE1"/>
    <w:rsid w:val="00594F0F"/>
    <w:rsid w:val="005A4CD4"/>
    <w:rsid w:val="005A62A3"/>
    <w:rsid w:val="005C066F"/>
    <w:rsid w:val="005D0E24"/>
    <w:rsid w:val="00600342"/>
    <w:rsid w:val="006004C4"/>
    <w:rsid w:val="006010CF"/>
    <w:rsid w:val="00614CD9"/>
    <w:rsid w:val="0063753B"/>
    <w:rsid w:val="006635D2"/>
    <w:rsid w:val="00667760"/>
    <w:rsid w:val="0067643C"/>
    <w:rsid w:val="006839DE"/>
    <w:rsid w:val="00684205"/>
    <w:rsid w:val="006D12C2"/>
    <w:rsid w:val="006F3A24"/>
    <w:rsid w:val="00714139"/>
    <w:rsid w:val="00725BBC"/>
    <w:rsid w:val="00740A05"/>
    <w:rsid w:val="0074654F"/>
    <w:rsid w:val="00753800"/>
    <w:rsid w:val="00774B2E"/>
    <w:rsid w:val="00793A73"/>
    <w:rsid w:val="007A1AB9"/>
    <w:rsid w:val="007A5AAC"/>
    <w:rsid w:val="007D31F3"/>
    <w:rsid w:val="007E44FA"/>
    <w:rsid w:val="007F47B4"/>
    <w:rsid w:val="007F648D"/>
    <w:rsid w:val="00806722"/>
    <w:rsid w:val="00815443"/>
    <w:rsid w:val="00860001"/>
    <w:rsid w:val="00874545"/>
    <w:rsid w:val="008A376F"/>
    <w:rsid w:val="008E79E8"/>
    <w:rsid w:val="00910394"/>
    <w:rsid w:val="00924733"/>
    <w:rsid w:val="00932F05"/>
    <w:rsid w:val="009733B3"/>
    <w:rsid w:val="009755FB"/>
    <w:rsid w:val="00992BF2"/>
    <w:rsid w:val="009A02C7"/>
    <w:rsid w:val="009A17D8"/>
    <w:rsid w:val="009A59C8"/>
    <w:rsid w:val="009C7AD5"/>
    <w:rsid w:val="009F65A7"/>
    <w:rsid w:val="00A01842"/>
    <w:rsid w:val="00A03BF2"/>
    <w:rsid w:val="00A237DC"/>
    <w:rsid w:val="00A2736A"/>
    <w:rsid w:val="00A6116C"/>
    <w:rsid w:val="00A63605"/>
    <w:rsid w:val="00A77700"/>
    <w:rsid w:val="00A86C80"/>
    <w:rsid w:val="00A96A14"/>
    <w:rsid w:val="00AB07FF"/>
    <w:rsid w:val="00AB0CC4"/>
    <w:rsid w:val="00AB6204"/>
    <w:rsid w:val="00AC7C2F"/>
    <w:rsid w:val="00AD3E7E"/>
    <w:rsid w:val="00AF25D9"/>
    <w:rsid w:val="00B31F99"/>
    <w:rsid w:val="00B77F08"/>
    <w:rsid w:val="00B8226C"/>
    <w:rsid w:val="00BB3560"/>
    <w:rsid w:val="00BB45EA"/>
    <w:rsid w:val="00BC60AF"/>
    <w:rsid w:val="00BD682F"/>
    <w:rsid w:val="00BE6005"/>
    <w:rsid w:val="00BE6551"/>
    <w:rsid w:val="00C308E6"/>
    <w:rsid w:val="00C50821"/>
    <w:rsid w:val="00C51C99"/>
    <w:rsid w:val="00C90575"/>
    <w:rsid w:val="00C9509E"/>
    <w:rsid w:val="00CA0A1C"/>
    <w:rsid w:val="00CA4A98"/>
    <w:rsid w:val="00CA58CE"/>
    <w:rsid w:val="00CA7070"/>
    <w:rsid w:val="00CE32FB"/>
    <w:rsid w:val="00CE3AB8"/>
    <w:rsid w:val="00D070F3"/>
    <w:rsid w:val="00D20091"/>
    <w:rsid w:val="00D2242E"/>
    <w:rsid w:val="00D229EB"/>
    <w:rsid w:val="00D27846"/>
    <w:rsid w:val="00D45FF8"/>
    <w:rsid w:val="00D529F5"/>
    <w:rsid w:val="00D541FA"/>
    <w:rsid w:val="00D64C95"/>
    <w:rsid w:val="00D840CB"/>
    <w:rsid w:val="00DA49B0"/>
    <w:rsid w:val="00DB14C4"/>
    <w:rsid w:val="00DB5794"/>
    <w:rsid w:val="00E018AD"/>
    <w:rsid w:val="00E1450E"/>
    <w:rsid w:val="00E404FD"/>
    <w:rsid w:val="00E42579"/>
    <w:rsid w:val="00E6202B"/>
    <w:rsid w:val="00E764EC"/>
    <w:rsid w:val="00E9637A"/>
    <w:rsid w:val="00F1475A"/>
    <w:rsid w:val="00F2008B"/>
    <w:rsid w:val="00F21B15"/>
    <w:rsid w:val="00F23202"/>
    <w:rsid w:val="00F263CD"/>
    <w:rsid w:val="00F315EA"/>
    <w:rsid w:val="00F437F3"/>
    <w:rsid w:val="00F44890"/>
    <w:rsid w:val="00F501C7"/>
    <w:rsid w:val="00F530AD"/>
    <w:rsid w:val="00F6778B"/>
    <w:rsid w:val="00F77C3C"/>
    <w:rsid w:val="00F80EEB"/>
    <w:rsid w:val="00F977C9"/>
    <w:rsid w:val="00FB6AF4"/>
    <w:rsid w:val="EFBF5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qFormat/>
    <w:uiPriority w:val="1"/>
    <w:pPr>
      <w:ind w:left="140"/>
      <w:outlineLvl w:val="0"/>
    </w:pPr>
    <w:rPr>
      <w:rFonts w:ascii="黑体" w:hAnsi="黑体" w:eastAsia="黑体" w:cs="黑体"/>
      <w:b/>
      <w:bCs/>
      <w:sz w:val="48"/>
      <w:szCs w:val="48"/>
    </w:rPr>
  </w:style>
  <w:style w:type="paragraph" w:styleId="3">
    <w:name w:val="heading 2"/>
    <w:basedOn w:val="1"/>
    <w:qFormat/>
    <w:uiPriority w:val="1"/>
    <w:pPr>
      <w:ind w:left="860" w:right="2706" w:hanging="1004"/>
      <w:outlineLvl w:val="1"/>
    </w:pPr>
    <w:rPr>
      <w:rFonts w:ascii="黑体" w:hAnsi="黑体" w:eastAsia="黑体" w:cs="黑体"/>
      <w:b/>
      <w:bCs/>
      <w:sz w:val="40"/>
      <w:szCs w:val="40"/>
    </w:rPr>
  </w:style>
  <w:style w:type="paragraph" w:styleId="4">
    <w:name w:val="heading 3"/>
    <w:basedOn w:val="1"/>
    <w:qFormat/>
    <w:uiPriority w:val="1"/>
    <w:pPr>
      <w:spacing w:before="15"/>
      <w:ind w:left="637" w:hanging="355"/>
      <w:outlineLvl w:val="2"/>
    </w:pPr>
    <w:rPr>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4"/>
      <w:szCs w:val="24"/>
    </w:rPr>
  </w:style>
  <w:style w:type="paragraph" w:styleId="6">
    <w:name w:val="Balloon Text"/>
    <w:basedOn w:val="1"/>
    <w:link w:val="20"/>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eastAsia="zh-CN"/>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semiHidden/>
    <w:unhideWhenUsed/>
    <w:qFormat/>
    <w:uiPriority w:val="99"/>
    <w:rPr>
      <w:color w:val="800080" w:themeColor="followedHyperlink"/>
      <w:u w:val="single"/>
    </w:rPr>
  </w:style>
  <w:style w:type="character" w:styleId="14">
    <w:name w:val="Hyperlink"/>
    <w:basedOn w:val="12"/>
    <w:unhideWhenUsed/>
    <w:qFormat/>
    <w:uiPriority w:val="99"/>
    <w:rPr>
      <w:color w:val="0000FF" w:themeColor="hyperlink"/>
      <w:u w:val="single"/>
    </w:rPr>
  </w:style>
  <w:style w:type="table" w:customStyle="1" w:styleId="15">
    <w:name w:val="Table Normal"/>
    <w:semiHidden/>
    <w:unhideWhenUsed/>
    <w:qFormat/>
    <w:uiPriority w:val="2"/>
    <w:tblPr>
      <w:tblCellMar>
        <w:top w:w="0" w:type="dxa"/>
        <w:left w:w="0" w:type="dxa"/>
        <w:bottom w:w="0" w:type="dxa"/>
        <w:right w:w="0" w:type="dxa"/>
      </w:tblCellMar>
    </w:tblPr>
  </w:style>
  <w:style w:type="paragraph" w:styleId="16">
    <w:name w:val="List Paragraph"/>
    <w:basedOn w:val="1"/>
    <w:qFormat/>
    <w:uiPriority w:val="34"/>
    <w:pPr>
      <w:spacing w:before="15"/>
      <w:ind w:left="637" w:hanging="355"/>
    </w:pPr>
  </w:style>
  <w:style w:type="paragraph" w:customStyle="1" w:styleId="17">
    <w:name w:val="Table Paragraph"/>
    <w:basedOn w:val="1"/>
    <w:qFormat/>
    <w:uiPriority w:val="1"/>
  </w:style>
  <w:style w:type="character" w:customStyle="1" w:styleId="18">
    <w:name w:val="页眉 Char"/>
    <w:basedOn w:val="12"/>
    <w:link w:val="8"/>
    <w:qFormat/>
    <w:uiPriority w:val="99"/>
    <w:rPr>
      <w:rFonts w:ascii="宋体" w:hAnsi="宋体" w:eastAsia="宋体" w:cs="宋体"/>
      <w:sz w:val="18"/>
      <w:szCs w:val="18"/>
    </w:rPr>
  </w:style>
  <w:style w:type="character" w:customStyle="1" w:styleId="19">
    <w:name w:val="页脚 Char"/>
    <w:basedOn w:val="12"/>
    <w:link w:val="7"/>
    <w:qFormat/>
    <w:uiPriority w:val="99"/>
    <w:rPr>
      <w:rFonts w:ascii="宋体" w:hAnsi="宋体" w:eastAsia="宋体" w:cs="宋体"/>
      <w:sz w:val="18"/>
      <w:szCs w:val="18"/>
    </w:rPr>
  </w:style>
  <w:style w:type="character" w:customStyle="1" w:styleId="20">
    <w:name w:val="批注框文本 Char"/>
    <w:basedOn w:val="12"/>
    <w:link w:val="6"/>
    <w:semiHidden/>
    <w:qFormat/>
    <w:uiPriority w:val="99"/>
    <w:rPr>
      <w:rFonts w:ascii="宋体" w:hAnsi="宋体" w:eastAsia="宋体" w:cs="宋体"/>
      <w:sz w:val="18"/>
      <w:szCs w:val="18"/>
    </w:rPr>
  </w:style>
  <w:style w:type="character" w:customStyle="1" w:styleId="21">
    <w:name w:val="Subtle Emphasis"/>
    <w:basedOn w:val="12"/>
    <w:qFormat/>
    <w:uiPriority w:val="19"/>
    <w:rPr>
      <w:i/>
      <w:iCs/>
      <w:color w:val="3F3F3F" w:themeColor="text1" w:themeTint="B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5FF635-EB62-4BB7-B7E3-491B59BA793C}">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5</Pages>
  <Words>535</Words>
  <Characters>3056</Characters>
  <Lines>25</Lines>
  <Paragraphs>7</Paragraphs>
  <TotalTime>3</TotalTime>
  <ScaleCrop>false</ScaleCrop>
  <LinksUpToDate>false</LinksUpToDate>
  <CharactersWithSpaces>3584</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2019-03-05T13:34:00Z</dcterms:created>
  <dc:creator>汪舒田</dc:creator>
  <cp:lastModifiedBy>ji.mingfei</cp:lastModifiedBy>
  <cp:lastPrinted>2019-03-04T17:14:00Z</cp:lastPrinted>
  <dcterms:modified xsi:type="dcterms:W3CDTF">2026-08-12T11:40:04Z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2010</vt:lpwstr>
  </property>
  <property fmtid="{D5CDD505-2E9C-101B-9397-08002B2CF9AE}" pid="4" name="LastSaved">
    <vt:filetime>2017-10-24T00:00:00Z</vt:filetime>
  </property>
  <property fmtid="{D5CDD505-2E9C-101B-9397-08002B2CF9AE}" pid="5" name="KSOProductBuildVer">
    <vt:lpwstr>2052-11.8.2.12219</vt:lpwstr>
  </property>
  <property fmtid="{D5CDD505-2E9C-101B-9397-08002B2CF9AE}" pid="6" name="ICV">
    <vt:lpwstr>92B6F62CCE5C1C1214EB7B6AD37DAA1B</vt:lpwstr>
  </property>
</Properties>
</file>